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97" w:rsidRDefault="003C23DE">
      <w:pPr>
        <w:spacing w:after="0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31520" cy="7239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D2E97" w:rsidRDefault="003C23D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WYMAGANIA EDUKACYJNE Z </w:t>
      </w:r>
      <w:r>
        <w:rPr>
          <w:rFonts w:ascii="Times New Roman" w:eastAsia="Times New Roman" w:hAnsi="Times New Roman" w:cs="Times New Roman"/>
          <w:b/>
          <w:u w:val="single"/>
        </w:rPr>
        <w:t>WYCHOWANIA FIZYCZNEGO</w:t>
      </w:r>
      <w:r>
        <w:rPr>
          <w:rFonts w:ascii="Times New Roman" w:eastAsia="Times New Roman" w:hAnsi="Times New Roman" w:cs="Times New Roman"/>
          <w:b/>
        </w:rPr>
        <w:t xml:space="preserve"> NIEZBĘDNE DO UZYSKANIA PRZEZ UCZNIA</w:t>
      </w:r>
    </w:p>
    <w:p w:rsidR="005D2E97" w:rsidRDefault="003C23DE">
      <w:pPr>
        <w:spacing w:after="0"/>
        <w:ind w:left="4956" w:firstLine="707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(przedmiot)</w:t>
      </w:r>
    </w:p>
    <w:p w:rsidR="005D2E97" w:rsidRDefault="003C23D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POSZCZEGÓLNYCH ŚRÓDROCZNYCH I ROCZNYCH OCEN KLASYFIKACYJNYCH WYNIKAJĄCYCH Z REALIZOWANEGO PROGRAMU NAUCZANIA </w:t>
      </w:r>
      <w:r>
        <w:rPr>
          <w:rFonts w:ascii="Times New Roman" w:eastAsia="Times New Roman" w:hAnsi="Times New Roman" w:cs="Times New Roman"/>
          <w:b/>
          <w:u w:val="single"/>
        </w:rPr>
        <w:t>“MAGIA ZDROWIA” PROGRAM WYCHOWANIA FIZYCZNEGO</w:t>
      </w:r>
      <w:r>
        <w:rPr>
          <w:rFonts w:ascii="Times New Roman" w:eastAsia="Times New Roman" w:hAnsi="Times New Roman" w:cs="Times New Roman"/>
          <w:b/>
        </w:rPr>
        <w:t xml:space="preserve"> (LICEUM 4-LETNIE)</w:t>
      </w:r>
    </w:p>
    <w:p w:rsidR="005D2E97" w:rsidRDefault="003C23DE">
      <w:pPr>
        <w:spacing w:after="0"/>
        <w:ind w:left="4248" w:firstLine="708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(autor/tytuł/wydawnictwo)</w:t>
      </w:r>
    </w:p>
    <w:p w:rsidR="005D2E97" w:rsidRDefault="005D2E9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D2E97" w:rsidRDefault="003C23DE">
      <w:pPr>
        <w:tabs>
          <w:tab w:val="center" w:pos="7002"/>
          <w:tab w:val="left" w:pos="852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ZAKRES PODSTAWOWY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Style w:val="a"/>
        <w:tblW w:w="141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44"/>
      </w:tblGrid>
      <w:tr w:rsidR="005D2E97">
        <w:tc>
          <w:tcPr>
            <w:tcW w:w="14144" w:type="dxa"/>
          </w:tcPr>
          <w:p w:rsidR="005D2E97" w:rsidRDefault="003C23DE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Szczegółowe wymagania edukacyjne dla klasy 1A, 1B, 1B1, 1B2, 1B3, 1C, 1D, 1E, 1F, 1G, 1H, 1I, 2A, 2B1, 2B2, </w:t>
            </w:r>
            <w:r w:rsidR="003D5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2B3,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2C, 2D, 2E, 2</w:t>
            </w:r>
            <w:r w:rsidR="003D5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F, 2G, 2H, 2I, 3A, 3B1, 3B2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3C, 3D, 3E, 3F, 3G, 3H, 3I, 4Ap, 4Bp1, 4Bp2, 4Bp3, 4Cp, 4Dp, 4Ep, 4Fp, 4Gp, 4Hp.</w:t>
            </w:r>
          </w:p>
        </w:tc>
      </w:tr>
      <w:tr w:rsidR="005D2E97">
        <w:tc>
          <w:tcPr>
            <w:tcW w:w="14144" w:type="dxa"/>
          </w:tcPr>
          <w:p w:rsidR="005D2E97" w:rsidRDefault="003C23DE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Kryteria oceny z wychowania fizycznego z poszczególnych obszarów: </w:t>
            </w:r>
          </w:p>
          <w:p w:rsidR="005D2E97" w:rsidRDefault="003C23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Systematyczność – jedna ocena w miesiącu.</w:t>
            </w:r>
          </w:p>
          <w:p w:rsidR="005D2E97" w:rsidRDefault="003C23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Aktywność na lekcji – jedna podsumowująca ocena w miesiącu.</w:t>
            </w:r>
          </w:p>
          <w:p w:rsidR="005D2E97" w:rsidRDefault="003C23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Wiedza i umiejętności – średnia z uzyskanych ocen bieżących w półroczu.</w:t>
            </w:r>
          </w:p>
          <w:p w:rsidR="005D2E97" w:rsidRDefault="003C23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Aktywność dodatkowa – jedna ocena w półroczu. </w:t>
            </w:r>
          </w:p>
          <w:p w:rsidR="005D2E97" w:rsidRDefault="003C23D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Ocena śródroczna lub roczna jest wypadkową oceną z tych trzech lub czterech obszarów.</w:t>
            </w:r>
          </w:p>
          <w:p w:rsidR="005D2E97" w:rsidRDefault="005D2E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2E97" w:rsidRDefault="005D2E97"/>
    <w:tbl>
      <w:tblPr>
        <w:tblStyle w:val="a0"/>
        <w:tblW w:w="13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4"/>
        <w:gridCol w:w="1502"/>
        <w:gridCol w:w="1283"/>
        <w:gridCol w:w="962"/>
        <w:gridCol w:w="831"/>
        <w:gridCol w:w="787"/>
        <w:gridCol w:w="1093"/>
        <w:gridCol w:w="1093"/>
        <w:gridCol w:w="991"/>
        <w:gridCol w:w="1093"/>
        <w:gridCol w:w="991"/>
        <w:gridCol w:w="248"/>
        <w:gridCol w:w="1225"/>
      </w:tblGrid>
      <w:tr w:rsidR="005D2E97">
        <w:tc>
          <w:tcPr>
            <w:tcW w:w="18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Obszar oceny</w:t>
            </w:r>
          </w:p>
        </w:tc>
        <w:tc>
          <w:tcPr>
            <w:tcW w:w="5365" w:type="dxa"/>
            <w:gridSpan w:val="5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Kryteria 3 godz./tyg.</w:t>
            </w:r>
          </w:p>
        </w:tc>
        <w:tc>
          <w:tcPr>
            <w:tcW w:w="6734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Ocena</w:t>
            </w:r>
          </w:p>
        </w:tc>
      </w:tr>
      <w:tr w:rsidR="005D2E97">
        <w:tc>
          <w:tcPr>
            <w:tcW w:w="189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5D2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65" w:type="dxa"/>
            <w:gridSpan w:val="5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5D2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celująca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bardzo 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dobra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dobra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dostate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czna</w:t>
            </w:r>
            <w:proofErr w:type="spellEnd"/>
          </w:p>
        </w:tc>
        <w:tc>
          <w:tcPr>
            <w:tcW w:w="1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dopuszcza-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jąca</w:t>
            </w:r>
            <w:proofErr w:type="spellEnd"/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niedostate-czna</w:t>
            </w:r>
            <w:proofErr w:type="spellEnd"/>
          </w:p>
        </w:tc>
      </w:tr>
      <w:tr w:rsidR="005D2E97">
        <w:tc>
          <w:tcPr>
            <w:tcW w:w="18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Systematyczność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waga 6</w:t>
            </w:r>
          </w:p>
        </w:tc>
        <w:tc>
          <w:tcPr>
            <w:tcW w:w="27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E97" w:rsidRDefault="003C23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Maksymalna liczba opuszczonych lekcji 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bez usprawiedliwienia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NB)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3C23D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Suma 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NB + NC 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godziny/tyg.</w:t>
            </w:r>
          </w:p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(ok.12 lekcji 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miesiącu)</w:t>
            </w:r>
          </w:p>
        </w:tc>
        <w:tc>
          <w:tcPr>
            <w:tcW w:w="109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1-2</w:t>
            </w:r>
          </w:p>
        </w:tc>
        <w:tc>
          <w:tcPr>
            <w:tcW w:w="99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9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 &gt;</w:t>
            </w:r>
          </w:p>
        </w:tc>
      </w:tr>
      <w:tr w:rsidR="005D2E97">
        <w:tc>
          <w:tcPr>
            <w:tcW w:w="189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5D2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E97" w:rsidRDefault="005D2E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5D2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5D2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5D2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5D2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5D2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5D2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5D2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2E97" w:rsidRDefault="005D2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2E97">
        <w:trPr>
          <w:trHeight w:val="945"/>
        </w:trPr>
        <w:tc>
          <w:tcPr>
            <w:tcW w:w="189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5D2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E97" w:rsidRDefault="003C23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Maksymalna liczba lekcji, 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 których uczeń nie ćwiczy 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bez usprawiedliwienia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NC</w:t>
            </w:r>
          </w:p>
        </w:tc>
        <w:tc>
          <w:tcPr>
            <w:tcW w:w="96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5D2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5D2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5D2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5D2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5D2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5D2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5D2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2E97" w:rsidRDefault="005D2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2E97">
        <w:trPr>
          <w:trHeight w:val="810"/>
        </w:trPr>
        <w:tc>
          <w:tcPr>
            <w:tcW w:w="189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5D2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5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2E97" w:rsidRDefault="003C23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Zwolnienia od rodziców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(R) </w:t>
            </w:r>
          </w:p>
          <w:p w:rsidR="005D2E97" w:rsidRDefault="003C23D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Zwolnienia lekarskie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(L)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– powyżej 1 tyg. uczeń nie może otrzymać oceny celującej, a powyżej 2 tyg. – uczeń nie jest oceniany z tego obszaru w miesiącu.</w:t>
            </w:r>
          </w:p>
        </w:tc>
        <w:tc>
          <w:tcPr>
            <w:tcW w:w="6734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E97" w:rsidRDefault="003C23D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Przedłożenie przez ucznia zwolnień od rodziców (R) z więcej niż 1 godziny wychowania fizycznego w miesiącu uniemożliwia mu otrzymanie oceny celującej, a z więcej niż 4 godzin – oceny bardzo dobrej z tego obszaru.</w:t>
            </w:r>
          </w:p>
        </w:tc>
      </w:tr>
      <w:tr w:rsidR="005D2E97">
        <w:tc>
          <w:tcPr>
            <w:tcW w:w="18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Umiejętności</w:t>
            </w:r>
          </w:p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Wiedza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waga 4</w:t>
            </w:r>
          </w:p>
        </w:tc>
        <w:tc>
          <w:tcPr>
            <w:tcW w:w="5365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Ruchowe</w:t>
            </w:r>
          </w:p>
        </w:tc>
        <w:tc>
          <w:tcPr>
            <w:tcW w:w="5261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3C23D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Umiejętności z indywidualnych i zespołowych form aktywności ruchowej: techniczne, taktyczne, utylitarne, zdrowotne i twórcze oceniane podczas wykonywanej aktywności i podczas sprawdzianów przygotowanych przez nauczyciela wychowania fizycznego. 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Średnia 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z uzyskanych ocen 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semestrze</w:t>
            </w:r>
          </w:p>
        </w:tc>
      </w:tr>
      <w:tr w:rsidR="005D2E97">
        <w:tc>
          <w:tcPr>
            <w:tcW w:w="189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5D2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Inne</w:t>
            </w:r>
          </w:p>
        </w:tc>
        <w:tc>
          <w:tcPr>
            <w:tcW w:w="5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E97" w:rsidRDefault="003C23D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Poziom umiejętności organizacyjnych, umiejętność prowadzenia rozgrzewki, fragmentu lekcji, sędziowania, organizacji zawodów, imprez itp.</w:t>
            </w:r>
          </w:p>
        </w:tc>
        <w:tc>
          <w:tcPr>
            <w:tcW w:w="1473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2E97" w:rsidRDefault="005D2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2E97">
        <w:tc>
          <w:tcPr>
            <w:tcW w:w="189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5D2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5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Praktyczne stosowanie wiedzy</w:t>
            </w:r>
          </w:p>
        </w:tc>
        <w:tc>
          <w:tcPr>
            <w:tcW w:w="5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D2E97" w:rsidRDefault="003C23D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Poziom opanowania wiedzy z 4 bloków tematycznych podstawy programowej</w:t>
            </w:r>
          </w:p>
        </w:tc>
        <w:tc>
          <w:tcPr>
            <w:tcW w:w="1473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2E97" w:rsidRDefault="005D2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2E97">
        <w:trPr>
          <w:trHeight w:val="1485"/>
        </w:trPr>
        <w:tc>
          <w:tcPr>
            <w:tcW w:w="18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Aktywność 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waga 5</w:t>
            </w:r>
          </w:p>
        </w:tc>
        <w:tc>
          <w:tcPr>
            <w:tcW w:w="4578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E97" w:rsidRDefault="003C23D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 tym obszarze uczeń ma zadanie obronę oceny celującej. Stara się postępować tak, aby nie zdobyć minusa za brak zaangażowania na lekcji, pracę poniżej swoich możliwości, złą postawę podczas aktywności fizycznej i nie przestrzeganie zasad oraz regulaminów.</w:t>
            </w:r>
          </w:p>
        </w:tc>
        <w:tc>
          <w:tcPr>
            <w:tcW w:w="7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Ilość (-) w miesiącu</w:t>
            </w: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(-)</w:t>
            </w: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(-)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(-)</w:t>
            </w: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(-)</w:t>
            </w:r>
          </w:p>
        </w:tc>
        <w:tc>
          <w:tcPr>
            <w:tcW w:w="123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(-)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 &gt;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(-)</w:t>
            </w:r>
          </w:p>
        </w:tc>
      </w:tr>
      <w:tr w:rsidR="005D2E97">
        <w:trPr>
          <w:trHeight w:val="525"/>
        </w:trPr>
        <w:tc>
          <w:tcPr>
            <w:tcW w:w="18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Aktywność dodatkowa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waga 3</w:t>
            </w:r>
          </w:p>
        </w:tc>
        <w:tc>
          <w:tcPr>
            <w:tcW w:w="15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Sport</w:t>
            </w:r>
          </w:p>
        </w:tc>
        <w:tc>
          <w:tcPr>
            <w:tcW w:w="10597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2E97" w:rsidRDefault="003C23D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Przez aktywność dodatkową w obszarze sport należy rozumieć udział ucznia w zawodach sportowych (SZS) 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oraz w udokumentowanej, pozaszkolnej aktywności ruchowej w klubach sportowych. W tym obszarze uczeń promowany jest tylko ocenami 5 lub 6. Celująca ocena = wybitne osiągnięcia sportowe.</w:t>
            </w:r>
          </w:p>
        </w:tc>
      </w:tr>
      <w:tr w:rsidR="005D2E97">
        <w:trPr>
          <w:trHeight w:val="750"/>
        </w:trPr>
        <w:tc>
          <w:tcPr>
            <w:tcW w:w="189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E97" w:rsidRDefault="005D2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D2E97" w:rsidRDefault="003C2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Rekreacja</w:t>
            </w:r>
          </w:p>
        </w:tc>
        <w:tc>
          <w:tcPr>
            <w:tcW w:w="10597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D2E97" w:rsidRDefault="003C23D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Przez aktywność dodatkową w obszarze rekreacja należy rozumieć udział ucznia w organizacji imprez szkolnych 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 charakterze rekreacyjnym, prowadzenie kroniki, gazetki, strony WWW itp. W tym obszarze uczeń promowany 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jest tylko ocenami 5 lub 6.</w:t>
            </w:r>
          </w:p>
        </w:tc>
      </w:tr>
    </w:tbl>
    <w:p w:rsidR="005D2E97" w:rsidRDefault="005D2E97">
      <w:pPr>
        <w:pBdr>
          <w:top w:val="nil"/>
          <w:left w:val="nil"/>
          <w:bottom w:val="nil"/>
          <w:right w:val="nil"/>
          <w:between w:val="nil"/>
        </w:pBdr>
        <w:tabs>
          <w:tab w:val="center" w:pos="7002"/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5D2E97">
      <w:pgSz w:w="16838" w:h="11906" w:orient="landscape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450B1"/>
    <w:multiLevelType w:val="multilevel"/>
    <w:tmpl w:val="95C8A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97"/>
    <w:rsid w:val="003C23DE"/>
    <w:rsid w:val="003D5FDD"/>
    <w:rsid w:val="005D2E97"/>
    <w:rsid w:val="00D7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G8rOPL5m7VKRsAxzp8+4OV3zlw==">AMUW2mX/zAnW4JxfKqxyd87YGzPLwuVzwwI7coelCHHW3G1sHwy3ZkJShoXU9saf7x4bmovNlwzbysCoKTPdM2lGl9+QxgeN/xhj9rQX1ufDjFgOE5kwrYQ=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457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Elżbieta Kurowska</cp:lastModifiedBy>
  <cp:revision>4</cp:revision>
  <dcterms:created xsi:type="dcterms:W3CDTF">2021-08-24T08:51:00Z</dcterms:created>
  <dcterms:modified xsi:type="dcterms:W3CDTF">2022-09-07T11:56:00Z</dcterms:modified>
</cp:coreProperties>
</file>