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0D" w:rsidRDefault="00AB77C6" w:rsidP="001A2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70D" w:rsidRPr="001A270D">
        <w:rPr>
          <w:rFonts w:ascii="Times New Roman" w:hAnsi="Times New Roman" w:cs="Times New Roman"/>
          <w:b/>
        </w:rPr>
        <w:t xml:space="preserve"> </w:t>
      </w:r>
      <w:r w:rsidR="001A270D" w:rsidRPr="004F0FD7">
        <w:rPr>
          <w:rFonts w:ascii="Times New Roman" w:hAnsi="Times New Roman" w:cs="Times New Roman"/>
          <w:b/>
        </w:rPr>
        <w:t xml:space="preserve">WYMAGANIA EDUKACYJNE </w:t>
      </w:r>
      <w:r w:rsidR="001A270D">
        <w:rPr>
          <w:rFonts w:ascii="Times New Roman" w:hAnsi="Times New Roman" w:cs="Times New Roman"/>
          <w:b/>
        </w:rPr>
        <w:t xml:space="preserve">Z </w:t>
      </w:r>
      <w:r w:rsidR="001A270D" w:rsidRPr="008C2F37">
        <w:rPr>
          <w:rFonts w:ascii="Times New Roman" w:hAnsi="Times New Roman" w:cs="Times New Roman"/>
          <w:b/>
          <w:u w:val="single"/>
        </w:rPr>
        <w:t xml:space="preserve">FIZYKI </w:t>
      </w:r>
      <w:r w:rsidR="001A270D" w:rsidRPr="004F0FD7">
        <w:rPr>
          <w:rFonts w:ascii="Times New Roman" w:hAnsi="Times New Roman" w:cs="Times New Roman"/>
          <w:b/>
        </w:rPr>
        <w:t>NIEZBĘDNE DO UZYSKANIA PRZEZ UCZNIA</w:t>
      </w:r>
    </w:p>
    <w:p w:rsidR="001A270D" w:rsidRPr="00A50190" w:rsidRDefault="001A270D" w:rsidP="001A270D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:rsidR="001A270D" w:rsidRPr="008C2F37" w:rsidRDefault="001A270D" w:rsidP="001A270D">
      <w:pPr>
        <w:pStyle w:val="NormalnyWeb"/>
        <w:spacing w:beforeAutospacing="0" w:after="0" w:afterAutospacing="0"/>
        <w:jc w:val="center"/>
        <w:rPr>
          <w:i/>
          <w:color w:val="000000"/>
          <w:sz w:val="27"/>
          <w:szCs w:val="27"/>
          <w:u w:val="single"/>
        </w:rPr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Z REALIZOWANEGO PROGRAMU NAUCZANIA </w:t>
      </w:r>
      <w:r w:rsidRPr="008C2F37">
        <w:rPr>
          <w:b/>
          <w:i/>
          <w:color w:val="000000"/>
          <w:sz w:val="27"/>
          <w:szCs w:val="27"/>
          <w:u w:val="single"/>
        </w:rPr>
        <w:t xml:space="preserve">W. </w:t>
      </w:r>
      <w:proofErr w:type="spellStart"/>
      <w:r w:rsidRPr="008C2F37">
        <w:rPr>
          <w:b/>
          <w:i/>
          <w:color w:val="000000"/>
          <w:sz w:val="27"/>
          <w:szCs w:val="27"/>
          <w:u w:val="single"/>
        </w:rPr>
        <w:t>Polesiuk</w:t>
      </w:r>
      <w:proofErr w:type="spellEnd"/>
      <w:r w:rsidRPr="008C2F37">
        <w:rPr>
          <w:b/>
          <w:i/>
          <w:color w:val="000000"/>
          <w:sz w:val="27"/>
          <w:szCs w:val="27"/>
          <w:u w:val="single"/>
        </w:rPr>
        <w:t>, L. Lehman, G. Wojewoda „Fizyka w liceum i technikum – zakres podstawowy”. WSiP</w:t>
      </w:r>
      <w:r w:rsidRPr="004F0FD7">
        <w:rPr>
          <w:b/>
        </w:rPr>
        <w:t xml:space="preserve"> (LICEUM 4-LETNIE)</w:t>
      </w:r>
    </w:p>
    <w:p w:rsidR="001A270D" w:rsidRPr="00B20C17" w:rsidRDefault="001A270D" w:rsidP="001A270D">
      <w:pPr>
        <w:spacing w:after="0"/>
        <w:ind w:left="4248" w:firstLine="708"/>
        <w:rPr>
          <w:rFonts w:ascii="Times New Roman" w:hAnsi="Times New Roman" w:cs="Times New Roman"/>
          <w:i/>
          <w:sz w:val="16"/>
          <w:szCs w:val="16"/>
        </w:rPr>
      </w:pPr>
    </w:p>
    <w:p w:rsidR="001A270D" w:rsidRPr="004F0FD7" w:rsidRDefault="001A270D" w:rsidP="001A270D">
      <w:pPr>
        <w:spacing w:after="0"/>
        <w:jc w:val="center"/>
        <w:rPr>
          <w:rFonts w:ascii="Times New Roman" w:hAnsi="Times New Roman" w:cs="Times New Roman"/>
          <w:b/>
        </w:rPr>
      </w:pPr>
    </w:p>
    <w:p w:rsidR="001A270D" w:rsidRPr="004F0FD7" w:rsidRDefault="001A270D" w:rsidP="001A270D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  <w:r w:rsidRPr="004F0FD7">
        <w:rPr>
          <w:rFonts w:ascii="Times New Roman" w:hAnsi="Times New Roman" w:cs="Times New Roman"/>
          <w:b/>
        </w:rPr>
        <w:tab/>
      </w:r>
      <w:r w:rsidRPr="004F0FD7">
        <w:rPr>
          <w:rFonts w:ascii="Times New Roman" w:hAnsi="Times New Roman" w:cs="Times New Roman"/>
          <w:b/>
          <w:sz w:val="24"/>
          <w:szCs w:val="24"/>
        </w:rPr>
        <w:t>ZAKRES PODSTAWOWY</w:t>
      </w:r>
      <w:r w:rsidRPr="004F0FD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1A270D" w:rsidRPr="004F0FD7" w:rsidTr="00E23C1D">
        <w:tc>
          <w:tcPr>
            <w:tcW w:w="14144" w:type="dxa"/>
            <w:gridSpan w:val="5"/>
          </w:tcPr>
          <w:p w:rsidR="001A270D" w:rsidRPr="004F0FD7" w:rsidRDefault="001A270D" w:rsidP="00E23C1D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dla klasy </w:t>
            </w:r>
            <w:r>
              <w:rPr>
                <w:b/>
                <w:sz w:val="24"/>
              </w:rPr>
              <w:t xml:space="preserve">2B1, 2B2, </w:t>
            </w:r>
            <w:r w:rsidR="00320850">
              <w:rPr>
                <w:b/>
                <w:sz w:val="24"/>
              </w:rPr>
              <w:t xml:space="preserve">2B3, </w:t>
            </w:r>
            <w:bookmarkStart w:id="0" w:name="_GoBack"/>
            <w:bookmarkEnd w:id="0"/>
            <w:r>
              <w:rPr>
                <w:b/>
                <w:sz w:val="24"/>
              </w:rPr>
              <w:t>2C, 2D, 2E, 2I</w:t>
            </w:r>
          </w:p>
        </w:tc>
      </w:tr>
      <w:tr w:rsidR="001A270D" w:rsidRPr="004F0FD7" w:rsidTr="00E23C1D">
        <w:tc>
          <w:tcPr>
            <w:tcW w:w="14144" w:type="dxa"/>
            <w:gridSpan w:val="5"/>
          </w:tcPr>
          <w:p w:rsidR="001A270D" w:rsidRPr="004F0FD7" w:rsidRDefault="001A270D" w:rsidP="00E23C1D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1A270D" w:rsidRPr="004F0FD7" w:rsidTr="00E23C1D">
        <w:tc>
          <w:tcPr>
            <w:tcW w:w="2828" w:type="dxa"/>
          </w:tcPr>
          <w:p w:rsidR="001A270D" w:rsidRPr="004F0FD7" w:rsidRDefault="001A270D" w:rsidP="00E23C1D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</w:tcPr>
          <w:p w:rsidR="001A270D" w:rsidRPr="004F0FD7" w:rsidRDefault="001A270D" w:rsidP="00E23C1D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</w:tcPr>
          <w:p w:rsidR="001A270D" w:rsidRPr="004F0FD7" w:rsidRDefault="001A270D" w:rsidP="00E23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</w:tcPr>
          <w:p w:rsidR="001A270D" w:rsidRPr="004F0FD7" w:rsidRDefault="001A270D" w:rsidP="00E23C1D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</w:tcPr>
          <w:p w:rsidR="001A270D" w:rsidRPr="004F0FD7" w:rsidRDefault="001A270D" w:rsidP="00E23C1D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1A270D" w:rsidRPr="004F0FD7" w:rsidTr="00B33F34">
        <w:tc>
          <w:tcPr>
            <w:tcW w:w="14144" w:type="dxa"/>
            <w:gridSpan w:val="5"/>
          </w:tcPr>
          <w:p w:rsidR="001A270D" w:rsidRPr="001A270D" w:rsidRDefault="001A270D" w:rsidP="001A270D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DRGANIA</w:t>
            </w:r>
          </w:p>
        </w:tc>
      </w:tr>
      <w:tr w:rsidR="008C0ED2" w:rsidRPr="004F0FD7" w:rsidTr="004A6290">
        <w:trPr>
          <w:trHeight w:val="6422"/>
        </w:trPr>
        <w:tc>
          <w:tcPr>
            <w:tcW w:w="2828" w:type="dxa"/>
            <w:tcBorders>
              <w:bottom w:val="single" w:sz="4" w:space="0" w:color="auto"/>
            </w:tcBorders>
          </w:tcPr>
          <w:p w:rsidR="008C0ED2" w:rsidRDefault="008C0ED2" w:rsidP="00E23C1D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 w:rsidRPr="00670407"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określa drgania jako cykliczny ruch wokół położenia równowagi,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 w:rsidRPr="00670407"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definicje okresu, amplitudy oraz częstotliwości drgań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zapisuje zależność między wartością siły sprężystości a odkształceniem,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określa kierunek i zwrot wypadkowej siły w ruchu drgającym.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określa rodzaje energii w ruchu drgającym,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jakościowo przemiany energii w ruchu drgającym.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wahadło jako przykład układu wykonującego ruch drgający,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jakościowo przemiany energii podczas ruchu wahadła.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odróżnia drgania tłumione od wymuszonych,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rezonansu mechanicznego.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 w:rsidRPr="00670407"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odczytuje z wykresu wychylenia od czasu amplitudę oraz okres drgań,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 w:rsidRPr="00670407"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wyznacza częstotliwość drgań na podstawie okresu,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 w:rsidRPr="00670407"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doświadczalnie udowadnia, że okres drgań ciała zawieszonego na sprężynie nie zależy od amplitudy.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proporcjonalność siły wypadkowej do wychylenia w ruchu harmonicznym,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doświadczalnie sprawdza zależność okresu drgań ciała zawieszonego na sprężynie od jego masy.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zasadę zachowania energii do obliczania energii w ruchu drgającym.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określa niezależność okresu drgań wahadła od amplitudy,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niezależność okresu drgań wahadła od masy.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posługuje się pojęciem częstotliwości własnej,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demonstruje zjawisko rezonansu mechanicznego.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 w:rsidRPr="00670407"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wyznacza prędkość ciała w momencie mijania położenia równowagi na podstawie wykresu położenia od czasu.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wyznacza współczynnik sprężystości z wykresu zależności siły rozciągającej od wydłużenia sprężyny,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korzysta z II zasady dynamiki Newtona w zadaniach dotyczących ruchu drgającego do wyznaczania maksymalnego przyspieszenia.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zależność między energią całkowitą w ruchu drgającym a amplitudą drgań.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jakościowo opisuje siły występujące podczas ruchu wahadła,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określa zależność okresu drgań wahadła od jego długości.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demonstruje drgania tłumione oraz wymuszone.</w:t>
            </w:r>
          </w:p>
        </w:tc>
        <w:tc>
          <w:tcPr>
            <w:tcW w:w="2829" w:type="dxa"/>
          </w:tcPr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stosuje do obliczeń wzór na okres drgań ciała zawieszonego na sprężynie. </w:t>
            </w:r>
          </w:p>
          <w:p w:rsidR="008C0ED2" w:rsidRDefault="008C0ED2" w:rsidP="00670407">
            <w:pPr>
              <w:widowControl w:val="0"/>
              <w:suppressAutoHyphens/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do obliczeń wzór na okres drgań wahadła,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zasadę zachowania energii w zadaniach obliczeniowych dotyczących wahadła.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C0ED2" w:rsidRPr="00670407" w:rsidRDefault="008C0ED2" w:rsidP="00670407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407"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poznaną wiedzę w sytuacjach nietypowych.</w:t>
            </w:r>
          </w:p>
        </w:tc>
      </w:tr>
      <w:tr w:rsidR="001A270D" w:rsidRPr="004F0FD7" w:rsidTr="002E3431">
        <w:tc>
          <w:tcPr>
            <w:tcW w:w="14144" w:type="dxa"/>
            <w:gridSpan w:val="5"/>
          </w:tcPr>
          <w:p w:rsidR="001A270D" w:rsidRPr="001A270D" w:rsidRDefault="001A270D" w:rsidP="001A270D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FALE I OPTYKA</w:t>
            </w:r>
          </w:p>
        </w:tc>
      </w:tr>
      <w:tr w:rsidR="008C0ED2" w:rsidRPr="004F0FD7" w:rsidTr="008C0ED2">
        <w:trPr>
          <w:trHeight w:val="3685"/>
        </w:trPr>
        <w:tc>
          <w:tcPr>
            <w:tcW w:w="2828" w:type="dxa"/>
          </w:tcPr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opisuje mechanizm rozchodzenia się fali mechanicznej,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rozróżnia fale płaskie i kołowe,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rozróżnia fale poprzeczne i podłużne.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definicje okresu oraz amplitudy drgań,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definicje długości oraz prędkości fali.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źródła dźwięków, podaje ich przykłady,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dźwięk jako falę podłużną.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zmiany częstotliwości dźwięku wywołane ruchem źródła dźwięku.</w:t>
            </w:r>
          </w:p>
          <w:p w:rsidR="008C0ED2" w:rsidRDefault="008C0ED2" w:rsidP="00E23C1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43" w:hanging="19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dyfrakcji fal,</w:t>
            </w:r>
          </w:p>
          <w:p w:rsidR="008C0ED2" w:rsidRDefault="008C0ED2" w:rsidP="00E23C1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43" w:hanging="19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wynik nakładania się fal.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interferencji fal.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określa światło jako falę elektromagnetyczną,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wymienia różne rodzaje fal elektromagnetycznych.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zjawisko odbicia,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formułuje prawo odbicia.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zjawisko załamania,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definiuje współczynnik załamania ośrodka,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formułuje prawo załamania.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podaje definicję kąta granicznego, </w:t>
            </w:r>
          </w:p>
          <w:p w:rsidR="008C0ED2" w:rsidRDefault="008C0ED2" w:rsidP="00E23C1D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opisuje zjawisko całkowitego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wewnętrznego odbicia.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jakościowo rozproszenie światła w atmosferze prowadzące do powstania niebieskiego koloru nieba i czerwonego koloru zachodzącego słońca.</w:t>
            </w:r>
          </w:p>
        </w:tc>
        <w:tc>
          <w:tcPr>
            <w:tcW w:w="2829" w:type="dxa"/>
          </w:tcPr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opisuje zależność między częstotliwością drgań źródła fali a częstotliwością fali w ośrodku.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oblicza częstotliwość fali na podstawie znajomości jej okresu,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odczytuje amplitudę oraz długość fali z obrazu fali.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cechy dźwięku,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przedstawia obraz oscyloskopowy fali akustycznej.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zmiany częstotliwości dźwięku wywołane ruchem odbiornika.</w:t>
            </w:r>
          </w:p>
          <w:p w:rsidR="008C0ED2" w:rsidRDefault="008C0ED2" w:rsidP="00E23C1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53" w:hanging="18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przykłady dyfrakcji fal,</w:t>
            </w:r>
          </w:p>
          <w:p w:rsidR="008C0ED2" w:rsidRDefault="008C0ED2" w:rsidP="00E23C1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53" w:hanging="18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stosuje zasadę superpozycji do wyjaśnienia mechanizmu nakładania się fal, </w:t>
            </w:r>
          </w:p>
          <w:p w:rsidR="008C0ED2" w:rsidRDefault="008C0ED2" w:rsidP="00E23C1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253" w:hanging="183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zjawisko rozpraszania fal mechanicznych.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mechanizm powstawania interferencji fal z dwóch źródeł,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falę stojącą.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doświadczenie Younga jako potwierdzenie falowej natury światła,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zakres długości fali dla światła oraz wartość prędkości światła w próżni,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demonstruje polaryzację światła w wyniku przejścia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przez polaryzatory.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konstruuje obraz w zwierciadle płaskim,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cechy obrazu w zwierciadle płaskim.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zmianę długości fali po przejściu do innego ośrodka.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zasadę działania światłowodu.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opisuje, w jaki sposób powstaje tęcza,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różnice między tęczą a halo.</w:t>
            </w:r>
          </w:p>
        </w:tc>
        <w:tc>
          <w:tcPr>
            <w:tcW w:w="2829" w:type="dxa"/>
          </w:tcPr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opisuje sposób rozchodzenia się fali podłużnej w ośrodku.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do obliczeń zależność między długością, częstotliwością oraz prędkością fali.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omawia wielkości opisujące dźwięki,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 xml:space="preserve">określa </w:t>
            </w:r>
            <w:r>
              <w:rPr>
                <w:rFonts w:ascii="AgendaPl-RegularCondensed" w:eastAsia="Times New Roman" w:hAnsi="AgendaPl-RegularCondensed" w:cs="Times New Roman"/>
                <w:color w:val="242021"/>
                <w:kern w:val="2"/>
                <w:sz w:val="20"/>
                <w:szCs w:val="20"/>
                <w:lang w:eastAsia="zh-CN" w:bidi="hi-IN"/>
              </w:rPr>
              <w:t>poziom natężenia dźwięku w wybranych sytuacjach.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wzór na zmianę częstotliwości wywołany efektem Dopplera do obliczeń.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doświadczenie ilustrujące zjawisko dyfrakcji fal mechanicznych na szczelinie.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mechanizm powstawania fali stojącej.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do obliczeń zależność między prędkością światła, długością oraz częstotliwością fali,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mechanizm rozpraszania światła.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zjawisko polaryzacji przez odbicie.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prawo załamania do opisu zjawisk optycznych.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poznane zjawiska do rozwiązywania typowych zadań i problemów.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mechanizm powstawania miraży.</w:t>
            </w:r>
          </w:p>
        </w:tc>
        <w:tc>
          <w:tcPr>
            <w:tcW w:w="2829" w:type="dxa"/>
          </w:tcPr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fale rozchodzące się w wodzie.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wyjaśnia, czym różni się głośność od poziomu natężenia dźwięku.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 xml:space="preserve">stosuje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wzór na zmianę częstotliwości wywołany efektem Dopplera w sytuacjach złożonych.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doświadczenie ilustrujące zjawisko nakładania się fal mechanicznych.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wiąże zjawisko odbicia z interferencją.</w:t>
            </w:r>
          </w:p>
          <w:p w:rsidR="008C0ED2" w:rsidRDefault="008C0ED2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bieg światła w ośrodku niejednorodnym.</w:t>
            </w:r>
          </w:p>
          <w:p w:rsidR="008C0ED2" w:rsidRDefault="008C0ED2" w:rsidP="009051D9">
            <w:pPr>
              <w:widowControl w:val="0"/>
              <w:suppressAutoHyphens/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.</w:t>
            </w:r>
          </w:p>
          <w:p w:rsidR="008C0ED2" w:rsidRDefault="008C0ED2" w:rsidP="008C0ED2">
            <w:pPr>
              <w:widowControl w:val="0"/>
              <w:suppressAutoHyphens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</w:p>
        </w:tc>
        <w:tc>
          <w:tcPr>
            <w:tcW w:w="2829" w:type="dxa"/>
          </w:tcPr>
          <w:p w:rsidR="008C0ED2" w:rsidRPr="008C0ED2" w:rsidRDefault="008C0ED2" w:rsidP="00670407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407"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poznaną wiedzę w sytuacjach nietypowych.</w:t>
            </w:r>
          </w:p>
          <w:p w:rsidR="008C0ED2" w:rsidRPr="008C0ED2" w:rsidRDefault="008C0ED2" w:rsidP="00670407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 samodzielnie wyszukuje przykłady zjawisk optycznych w atmosferze i je wyjaśnia</w:t>
            </w:r>
          </w:p>
          <w:p w:rsidR="008C0ED2" w:rsidRPr="00670407" w:rsidRDefault="008C0ED2" w:rsidP="008C0ED2">
            <w:pPr>
              <w:pStyle w:val="Akapitzlist"/>
              <w:tabs>
                <w:tab w:val="center" w:pos="7002"/>
                <w:tab w:val="left" w:pos="8520"/>
              </w:tabs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70D" w:rsidRPr="004F0FD7" w:rsidTr="00612A2E">
        <w:tc>
          <w:tcPr>
            <w:tcW w:w="14144" w:type="dxa"/>
            <w:gridSpan w:val="5"/>
          </w:tcPr>
          <w:p w:rsidR="001A270D" w:rsidRPr="001A270D" w:rsidRDefault="001A270D" w:rsidP="001A270D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TERMODYNAMIKA</w:t>
            </w:r>
          </w:p>
        </w:tc>
      </w:tr>
      <w:tr w:rsidR="0006741E" w:rsidRPr="004F0FD7" w:rsidTr="008C0ED2">
        <w:trPr>
          <w:trHeight w:val="3260"/>
        </w:trPr>
        <w:tc>
          <w:tcPr>
            <w:tcW w:w="2828" w:type="dxa"/>
          </w:tcPr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cząsteczkową budowę materii,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energii wewnętrznej,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dyfuzji.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rozszerzalność objętościową cieczy i gazów,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rozszerzalność liniową ciał stałych.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wymienia trzy rodzaje przekazu ciepła między ciałami,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zastosowanie materiałów izolacyjnych.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formułuje I zasadę termodynamiki,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odróżnia przekaz energii w postaci ciepła od przekazu energii w postaci pracy.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podaje definicję ciepła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właściwego,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zapisuje zasady bilansu cieplnego.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zjawiska topnienia i krzepnięcia,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definiuje ciepło topnienia.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zjawiska parowania i skraplania,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definiuje ciepło parowania,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odróżnia parowanie od wrzenia.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zapisuje zasady bilansu cieplnego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charakteryzuje rozszerzalność cieplną wody.</w:t>
            </w:r>
          </w:p>
        </w:tc>
        <w:tc>
          <w:tcPr>
            <w:tcW w:w="2829" w:type="dxa"/>
          </w:tcPr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określa związek temperatury z energią kinetyczną cząsteczek,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omawia różnice w budowie cząsteczkowej gazów, cieczy i ciał stałych,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charakter sił międzycząsteczkowych.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różnice między rozszerzalnością liniową a objętościową.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opisuje różnice między trzema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softHyphen/>
              <w:t>rodzajami przekazu ciepła między ciałami,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pojęcie stanu równowagi termodynamicznej.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podaje, czym jest wartość energetyczna paliwa,</w:t>
            </w:r>
          </w:p>
          <w:p w:rsidR="0006741E" w:rsidRPr="001A270D" w:rsidRDefault="0006741E" w:rsidP="001A270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 xml:space="preserve">stosuje I zasadę </w:t>
            </w: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termodynamiki do rozwiązywania typowych problemów i zjawisk z otaczającego świata.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bilans cieplny w typowych przypadkach.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wykorzystuje ciepło topnienia w prostych obliczeniach,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rozróżnia ciała krystaliczne i bezpostaciowe.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wykorzystuje ciepło parowania w prostych obliczeniach,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parowanie jako jeden ze sposobów termoregulacji organizmów.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bilans cieplny z wykorzystaniem ciepła przemiany fazowej w typowych przypadkach,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wyjaśnia, na czym polega efekt cieplarniany.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korzysta z definicji pary nasyconej i nienasyconej.</w:t>
            </w:r>
          </w:p>
        </w:tc>
        <w:tc>
          <w:tcPr>
            <w:tcW w:w="2829" w:type="dxa"/>
          </w:tcPr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korzysta z definicji energii wewnętrznej do wyjaśniania zjawisk z otaczającego świata.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pojęcie rozszerzalności do wyjaśniania zjawisk z otaczającego świata,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oblicza przyrost długości ciała dla zadanego przyrostu temperatury,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i wykonuje doświadczenia ilustrujące rozszerzalność cieplną.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i wykonuje doświadczenie ilustrujące przewodność cieplną.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jakościowo procesy bez wymiany ciepła z otoczeniem.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stosuje bilans cieplny do obliczeń,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odróżnia pojemność cieplną od ciepła właściwego,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ocenia realność uzyskanych wyników obliczeń.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w obliczeniach wzór na ciepło pobrane (oddane) w procesie topnienia (krzepnięcia) 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doświadczenie ilustrujące stałość temperatury podczas topnienia (krzepnięcia).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w obliczeniach wzór na ciepło pobrane w procesie parowania,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projektuje doświadczenie ilustrujące stałość temperatury podczas wrzenia.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ocenia realność uzyskanych wyników obliczeń,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opisuje efekt cieplarniany Ziemi.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podaje definicję wilgotności powietrza,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wyjaśnia zmiany temperatury wrzenia związane ze zmianami ciśnienia.</w:t>
            </w:r>
          </w:p>
        </w:tc>
        <w:tc>
          <w:tcPr>
            <w:tcW w:w="2829" w:type="dxa"/>
          </w:tcPr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charakteryzuje ilościowo rozmiary atomów i cząsteczek.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zjawiska atmosferyczne będące ilustracją trzech sposobów przekazu ciepła.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opisuje praktyczne przykłady zastosowania przemian adiabatycznych gazów.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bilans cieplny do opisu zjawisk z otaczającego świata,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odróżnia szadź od szronu,</w:t>
            </w:r>
          </w:p>
          <w:p w:rsidR="0006741E" w:rsidRDefault="0006741E" w:rsidP="0006741E">
            <w:pPr>
              <w:widowControl w:val="0"/>
              <w:suppressAutoHyphens/>
              <w:spacing w:after="0" w:line="240" w:lineRule="auto"/>
              <w:ind w:left="227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analizuje bilans energetyczny Ziemi.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t>stosuje do obliczeń wilgotność względną i bezwzględną,</w:t>
            </w:r>
          </w:p>
          <w:p w:rsidR="0006741E" w:rsidRDefault="0006741E" w:rsidP="00E23C1D">
            <w:pPr>
              <w:widowControl w:val="0"/>
              <w:numPr>
                <w:ilvl w:val="0"/>
                <w:numId w:val="4"/>
              </w:numPr>
              <w:suppressAutoHyphens/>
              <w:contextualSpacing/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lastRenderedPageBreak/>
              <w:t>korzysta z diagramu fazowego wody w zadaniach obliczeniowych.</w:t>
            </w:r>
          </w:p>
        </w:tc>
        <w:tc>
          <w:tcPr>
            <w:tcW w:w="2829" w:type="dxa"/>
          </w:tcPr>
          <w:p w:rsidR="0006741E" w:rsidRPr="009051D9" w:rsidRDefault="0006741E" w:rsidP="009051D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4"/>
                <w:lang w:eastAsia="zh-CN" w:bidi="hi-IN"/>
              </w:rPr>
              <w:lastRenderedPageBreak/>
              <w:t>stosuje poznaną wiedzę w sytuacjach nietypowych.</w:t>
            </w:r>
          </w:p>
          <w:p w:rsidR="0006741E" w:rsidRPr="009051D9" w:rsidRDefault="0006741E" w:rsidP="009051D9">
            <w:pPr>
              <w:pStyle w:val="Akapitzlist"/>
              <w:numPr>
                <w:ilvl w:val="0"/>
                <w:numId w:val="4"/>
              </w:num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gendaPl-RegularCondensed" w:eastAsia="Times New Roman" w:hAnsi="AgendaPl-RegularCondensed" w:cs="Times New Roman"/>
                <w:kern w:val="2"/>
                <w:sz w:val="20"/>
                <w:szCs w:val="20"/>
                <w:lang w:eastAsia="zh-CN" w:bidi="hi-IN"/>
              </w:rPr>
              <w:t>rozwiązuje zadania o wyższym stopniu trudności.</w:t>
            </w:r>
          </w:p>
        </w:tc>
      </w:tr>
    </w:tbl>
    <w:p w:rsidR="007A1536" w:rsidRDefault="007A1536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7A1536" w:rsidSect="005B0353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charset w:val="EE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endaPl BoldCondensed">
    <w:altName w:val="Times New Roman"/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altName w:val="Times New Roman"/>
    <w:charset w:val="EE"/>
    <w:family w:val="roman"/>
    <w:pitch w:val="variable"/>
  </w:font>
  <w:font w:name="Minion Pro">
    <w:altName w:val="Times New Roman"/>
    <w:charset w:val="EE"/>
    <w:family w:val="roman"/>
    <w:pitch w:val="variable"/>
  </w:font>
  <w:font w:name="Myriad Pro">
    <w:altName w:val="Times New Roman"/>
    <w:charset w:val="EE"/>
    <w:family w:val="roman"/>
    <w:pitch w:val="variable"/>
  </w:font>
  <w:font w:name="AgendaPl-RegularCondensed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245"/>
    <w:multiLevelType w:val="multilevel"/>
    <w:tmpl w:val="B2B45A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">
    <w:nsid w:val="2512602A"/>
    <w:multiLevelType w:val="multilevel"/>
    <w:tmpl w:val="00647B96"/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651B58"/>
    <w:multiLevelType w:val="multilevel"/>
    <w:tmpl w:val="60F864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6882DF3"/>
    <w:multiLevelType w:val="multilevel"/>
    <w:tmpl w:val="085AC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AFA1714"/>
    <w:multiLevelType w:val="multilevel"/>
    <w:tmpl w:val="FAF6735E"/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69115F"/>
    <w:multiLevelType w:val="multilevel"/>
    <w:tmpl w:val="1CCE5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A973F5"/>
    <w:multiLevelType w:val="multilevel"/>
    <w:tmpl w:val="7E26EA40"/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7200C4D"/>
    <w:multiLevelType w:val="multilevel"/>
    <w:tmpl w:val="3E2C9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1536"/>
    <w:rsid w:val="0006741E"/>
    <w:rsid w:val="001A270D"/>
    <w:rsid w:val="00320850"/>
    <w:rsid w:val="005B0353"/>
    <w:rsid w:val="00670407"/>
    <w:rsid w:val="007A1536"/>
    <w:rsid w:val="008C0ED2"/>
    <w:rsid w:val="00902FE5"/>
    <w:rsid w:val="009051D9"/>
    <w:rsid w:val="00AB77C6"/>
    <w:rsid w:val="00CA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8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qFormat/>
    <w:rsid w:val="00C81DE9"/>
    <w:rPr>
      <w:b/>
      <w:bCs/>
    </w:rPr>
  </w:style>
  <w:style w:type="character" w:customStyle="1" w:styleId="RegCondItaliczmienna">
    <w:name w:val="RegCondItalic zmienna"/>
    <w:uiPriority w:val="99"/>
    <w:qFormat/>
    <w:rsid w:val="00C81DE9"/>
    <w:rPr>
      <w:i/>
      <w:iCs/>
    </w:rPr>
  </w:style>
  <w:style w:type="character" w:customStyle="1" w:styleId="RegCondItalic">
    <w:name w:val="RegCondItalic"/>
    <w:uiPriority w:val="99"/>
    <w:qFormat/>
    <w:rsid w:val="00C81DE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4C0"/>
  </w:style>
  <w:style w:type="character" w:customStyle="1" w:styleId="StopkaZnak">
    <w:name w:val="Stopka Znak"/>
    <w:basedOn w:val="Domylnaczcionkaakapitu"/>
    <w:link w:val="Stopka"/>
    <w:uiPriority w:val="99"/>
    <w:qFormat/>
    <w:rsid w:val="00B714C0"/>
  </w:style>
  <w:style w:type="character" w:customStyle="1" w:styleId="Italic">
    <w:name w:val="Italic"/>
    <w:uiPriority w:val="99"/>
    <w:qFormat/>
    <w:rsid w:val="00B714C0"/>
    <w:rPr>
      <w:i/>
      <w:iCs/>
    </w:rPr>
  </w:style>
  <w:style w:type="character" w:customStyle="1" w:styleId="bezdzielenia">
    <w:name w:val="bez dzielenia"/>
    <w:uiPriority w:val="99"/>
    <w:qFormat/>
    <w:rsid w:val="00B714C0"/>
    <w:rPr>
      <w:u w:val="none"/>
    </w:rPr>
  </w:style>
  <w:style w:type="character" w:customStyle="1" w:styleId="agendapomaranczowybold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14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14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B0353"/>
    <w:pPr>
      <w:spacing w:after="140"/>
    </w:pPr>
  </w:style>
  <w:style w:type="paragraph" w:styleId="Lista">
    <w:name w:val="List"/>
    <w:basedOn w:val="Tekstpodstawowy"/>
    <w:rsid w:val="005B0353"/>
    <w:rPr>
      <w:rFonts w:cs="Mangal"/>
    </w:rPr>
  </w:style>
  <w:style w:type="paragraph" w:styleId="Legenda">
    <w:name w:val="caption"/>
    <w:basedOn w:val="Normalny"/>
    <w:qFormat/>
    <w:rsid w:val="005B03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B0353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3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qFormat/>
    <w:rsid w:val="00CA3A12"/>
    <w:pPr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qFormat/>
    <w:rsid w:val="00242F13"/>
    <w:pPr>
      <w:tabs>
        <w:tab w:val="left" w:pos="170"/>
        <w:tab w:val="left" w:pos="340"/>
        <w:tab w:val="left" w:pos="510"/>
      </w:tabs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qFormat/>
    <w:rsid w:val="00C81DE9"/>
    <w:pPr>
      <w:tabs>
        <w:tab w:val="left" w:pos="170"/>
        <w:tab w:val="left" w:pos="340"/>
        <w:tab w:val="left" w:pos="510"/>
      </w:tabs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qFormat/>
    <w:rsid w:val="00C81DE9"/>
    <w:pPr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Brakstyluakapitowego">
    <w:name w:val="[Brak stylu akapitowego]"/>
    <w:qFormat/>
    <w:rsid w:val="00C81DE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Gwkaistopka">
    <w:name w:val="Główka i stopka"/>
    <w:basedOn w:val="Normalny"/>
    <w:qFormat/>
    <w:rsid w:val="005B0353"/>
  </w:style>
  <w:style w:type="paragraph" w:styleId="Stopka">
    <w:name w:val="footer"/>
    <w:basedOn w:val="Normalny"/>
    <w:link w:val="Stopka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cenariuszetytul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qFormat/>
    <w:rsid w:val="00B714C0"/>
  </w:style>
  <w:style w:type="paragraph" w:customStyle="1" w:styleId="Podstawowyakapitowy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14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14C0"/>
    <w:rPr>
      <w:b/>
      <w:bCs/>
    </w:rPr>
  </w:style>
  <w:style w:type="paragraph" w:customStyle="1" w:styleId="kropa">
    <w:name w:val="kropa"/>
    <w:basedOn w:val="Normalny"/>
    <w:qFormat/>
    <w:rsid w:val="00B714C0"/>
    <w:p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2A90-DFCB-4FC8-9F0F-E3C7F743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1363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Elżbieta Kurowska</cp:lastModifiedBy>
  <cp:revision>4</cp:revision>
  <cp:lastPrinted>2021-08-24T10:54:00Z</cp:lastPrinted>
  <dcterms:created xsi:type="dcterms:W3CDTF">2021-09-26T20:58:00Z</dcterms:created>
  <dcterms:modified xsi:type="dcterms:W3CDTF">2022-09-08T14:46:00Z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