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37" w:rsidRDefault="006758C6">
      <w:pPr>
        <w:pStyle w:val="NormalnyWeb"/>
        <w:jc w:val="center"/>
      </w:pPr>
      <w:r>
        <w:rPr>
          <w:noProof/>
        </w:rPr>
        <w:drawing>
          <wp:inline distT="0" distB="0" distL="0" distR="0" wp14:anchorId="0821FF25" wp14:editId="1B45EECF">
            <wp:extent cx="731520" cy="723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8C6">
        <w:rPr>
          <w:b/>
          <w:sz w:val="27"/>
          <w:szCs w:val="27"/>
        </w:rPr>
        <w:t xml:space="preserve">WYMAGANIA EDUKACYJNE Z HISTORII NIEZBĘDNE DO UZYSKANIA PRZEZ UCZNIA POSZCZEGÓLNYCH ŚRÓDROCZNYCH I ROCZNYCH OCEN KLASYFIKACYJNYCH WYNIKAJĄCYCH Z REALIZOWANEGO PROGRAMU NAUCZANIA </w:t>
      </w:r>
      <w:r w:rsidRPr="006758C6">
        <w:rPr>
          <w:rFonts w:ascii="Open Sans" w:hAnsi="Open Sans" w:cs="Open Sans"/>
          <w:b/>
          <w:sz w:val="21"/>
          <w:szCs w:val="21"/>
          <w:shd w:val="clear" w:color="auto" w:fill="FFFFFF"/>
        </w:rPr>
        <w:t xml:space="preserve">JAKUB LONERC </w:t>
      </w:r>
      <w:r w:rsidRPr="006758C6">
        <w:rPr>
          <w:b/>
          <w:sz w:val="27"/>
          <w:szCs w:val="27"/>
        </w:rPr>
        <w:t xml:space="preserve"> HISTORIA PROGRAM NAUCZANIA LICEUM OGÓLNOKSZTAŁCĄCE I TECHNIKUM.ZAKRES PODSTAWOWY. WSiP (LICEUM 4-LETNIE)</w:t>
      </w:r>
    </w:p>
    <w:p w:rsidR="00003137" w:rsidRDefault="006758C6">
      <w:pPr>
        <w:pStyle w:val="NormalnyWeb"/>
      </w:pPr>
      <w:r>
        <w:rPr>
          <w:color w:val="000000"/>
          <w:sz w:val="27"/>
          <w:szCs w:val="27"/>
        </w:rPr>
        <w:t xml:space="preserve"> </w:t>
      </w:r>
    </w:p>
    <w:p w:rsidR="00003137" w:rsidRPr="006758C6" w:rsidRDefault="006758C6" w:rsidP="006758C6">
      <w:pPr>
        <w:pStyle w:val="NormalnyWeb"/>
        <w:jc w:val="center"/>
        <w:rPr>
          <w:b/>
        </w:rPr>
      </w:pPr>
      <w:r w:rsidRPr="006758C6">
        <w:rPr>
          <w:b/>
          <w:color w:val="000000"/>
          <w:sz w:val="27"/>
          <w:szCs w:val="27"/>
        </w:rPr>
        <w:t>ZAKRES PODSTAWOWY</w:t>
      </w:r>
    </w:p>
    <w:tbl>
      <w:tblPr>
        <w:tblW w:w="0" w:type="auto"/>
        <w:tblInd w:w="110" w:type="dxa"/>
        <w:tblBorders>
          <w:top w:val="single" w:sz="4" w:space="0" w:color="F7931D"/>
          <w:left w:val="single" w:sz="6" w:space="0" w:color="00000A"/>
          <w:bottom w:val="single" w:sz="4" w:space="0" w:color="FFFFFF"/>
          <w:right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3"/>
        <w:gridCol w:w="2565"/>
        <w:gridCol w:w="2404"/>
        <w:gridCol w:w="2643"/>
        <w:gridCol w:w="2311"/>
      </w:tblGrid>
      <w:tr w:rsidR="008521B2" w:rsidRPr="00D35232" w:rsidTr="008521B2">
        <w:trPr>
          <w:trHeight w:val="453"/>
          <w:tblHeader/>
        </w:trPr>
        <w:tc>
          <w:tcPr>
            <w:tcW w:w="12466" w:type="dxa"/>
            <w:gridSpan w:val="5"/>
            <w:tcBorders>
              <w:top w:val="single" w:sz="6" w:space="0" w:color="00000A"/>
              <w:left w:val="single" w:sz="4" w:space="0" w:color="FFFFFF"/>
              <w:bottom w:val="single" w:sz="4" w:space="0" w:color="FFFFFF"/>
              <w:right w:val="single" w:sz="6" w:space="0" w:color="00000A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1B2" w:rsidRPr="00D35232" w:rsidRDefault="008521B2">
            <w:pPr>
              <w:pStyle w:val="GLOWKATABELA"/>
              <w:rPr>
                <w:rFonts w:ascii="Times New Roman" w:hAnsi="Times New Roman" w:cs="Times New Roman"/>
              </w:rPr>
            </w:pPr>
            <w:r w:rsidRPr="00D35232">
              <w:rPr>
                <w:rFonts w:ascii="Times New Roman" w:hAnsi="Times New Roman" w:cs="Times New Roman"/>
              </w:rPr>
              <w:t xml:space="preserve">Szczegółowe wymagania edukacyjne dla klasy 2A, 2B1, 2B2, </w:t>
            </w:r>
            <w:r w:rsidR="00DA0CE6">
              <w:rPr>
                <w:rFonts w:ascii="Times New Roman" w:hAnsi="Times New Roman" w:cs="Times New Roman"/>
              </w:rPr>
              <w:t xml:space="preserve">2B3, </w:t>
            </w:r>
            <w:r w:rsidRPr="00D35232">
              <w:rPr>
                <w:rFonts w:ascii="Times New Roman" w:hAnsi="Times New Roman" w:cs="Times New Roman"/>
              </w:rPr>
              <w:t xml:space="preserve">2C, 2D, 2F, </w:t>
            </w:r>
            <w:r w:rsidR="005B3A66">
              <w:rPr>
                <w:rFonts w:ascii="Times New Roman" w:hAnsi="Times New Roman" w:cs="Times New Roman"/>
              </w:rPr>
              <w:t xml:space="preserve">2G, 2H, </w:t>
            </w:r>
            <w:bookmarkStart w:id="0" w:name="_GoBack"/>
            <w:bookmarkEnd w:id="0"/>
            <w:r w:rsidRPr="00D35232">
              <w:rPr>
                <w:rFonts w:ascii="Times New Roman" w:hAnsi="Times New Roman" w:cs="Times New Roman"/>
              </w:rPr>
              <w:t>2I</w:t>
            </w:r>
          </w:p>
          <w:p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Ocenę niedostateczną otrzymuje uczeń, który nie spełnia wymagań edukacyjnych niezbędnych do uzyskania oceny dopuszczającej.</w:t>
            </w:r>
          </w:p>
        </w:tc>
      </w:tr>
      <w:tr w:rsidR="008521B2" w:rsidRPr="00D35232" w:rsidTr="008521B2">
        <w:trPr>
          <w:trHeight w:val="453"/>
          <w:tblHeader/>
        </w:trPr>
        <w:tc>
          <w:tcPr>
            <w:tcW w:w="2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Wymagania edukacyjne niezbędne do uzyskania oceny dopuszczającej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Wymagania edukacyjne niezbędne do uzyskania oceny dostatecznej</w:t>
            </w:r>
          </w:p>
        </w:tc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Wymagania edukacyjne niezbędne do uzyskania oceny dobrej</w:t>
            </w:r>
          </w:p>
        </w:tc>
        <w:tc>
          <w:tcPr>
            <w:tcW w:w="2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Wymagania edukacyjne niezbędne do uzyskania oceny bardzo dobrej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00000A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Wymagania edukacyjne niezbędne do uzyskania oceny celujacej</w:t>
            </w:r>
          </w:p>
        </w:tc>
      </w:tr>
      <w:tr w:rsidR="008521B2" w:rsidRPr="00D35232" w:rsidTr="008521B2">
        <w:trPr>
          <w:trHeight w:val="60"/>
        </w:trPr>
        <w:tc>
          <w:tcPr>
            <w:tcW w:w="12466" w:type="dxa"/>
            <w:gridSpan w:val="5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D35232"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I. Początki świata nowożytnego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daty uważane za cezury epoki nowożytnej;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renesansu;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poglądy Niccolo Machiavellego;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osiągnięcia Mikołaja Kopernika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różne daty są przyjmowane za początek epoki nowożytnej;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humanizmu;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poglądy Tomasza Morusa;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literatury renesansu;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człowieka renesansu</w:t>
            </w:r>
          </w:p>
        </w:tc>
        <w:tc>
          <w:tcPr>
            <w:tcW w:w="240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czynniki sprzyjające rozwojowi renesansu i humanizmu;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literaturę renesansu;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różnice między literaturą renesansu a średniowieczną</w:t>
            </w:r>
          </w:p>
        </w:tc>
        <w:tc>
          <w:tcPr>
            <w:tcW w:w="264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renesans rozpoczął się w miastach włoskich;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proces rozprzestrzeniania się idei renesansu w Europie; 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rozwój nauki w epoce odrodzenia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sylwetki </w:t>
            </w:r>
            <w:r>
              <w:rPr>
                <w:rFonts w:ascii="Times New Roman" w:hAnsi="Times New Roman" w:cs="Times New Roman"/>
              </w:rPr>
              <w:br/>
              <w:t>Erazma z Rotterdamu i Leonarda da Vinci jako ludzi renesansu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cechy architektury renesansowej;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przykładowych twórców renesansu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rozpoznaje zabytki architektury renesansowej;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przykładowych twórców renesansu i niektóre ich dzieła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cechy rzeźby i malarstwa renesansowego;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rolę mecenatu papieskiego w rozwoju sztuki renesansu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rolę mecenatu świeckiego w rozwoju sztuki renesansu;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rolę, jaką odgrywała sztuka w średniowieczu i w renesansie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różnice i podobieństwa architektury renesansowej oraz malarstwa renesansowego w różnych regionach Europy</w:t>
            </w:r>
          </w:p>
        </w:tc>
      </w:tr>
      <w:tr w:rsidR="008521B2" w:rsidTr="008521B2">
        <w:trPr>
          <w:trHeight w:val="2618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trasy wypraw Portugalczyków i Hiszpanów oraz obszary przez nich odkryte;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przyczyny wielkich odkryć geograficznych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dzieli przykładowe przyczyny wielkich odkryć geograficznych na społeczne, gospodarcze i kulturalne;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zmiany techniczne i wynalazki, które pozwoliły Europejczykom na podróże dalekomorskie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wielkich odkryć geograficznych, dzieląc je na: polityczne, gospodarczo-społeczne i kulturalne;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 sposób zmiany techniczne umożliwiły Europejczykom podróże dalekomorskie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cywilizacje prekolumbijskie;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cywilizacje Majów, Azteków i Inków;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czy zostały zrealizowane cele, które stawiano przed odkrywcami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działalność księcia Henryka Żeglarza i jej wpływ na odkrycia Portugalczyków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inne państwa, które włączyły się do ekspansji kolonialnej;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tereny zajęte przez te państwa;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rozwój handlu w epoce nowożytnej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sposób zajmowania i organizację terenów odkrytych przez Portugalczyków oraz Hiszpanów;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skutki wielkich odkryć geograficznych dla Europy;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pojęcie rewolucja cen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organizację terenów zajmowanych przez Hiszpanów i Portugalczyków oraz wyjaśnia przyczyny różnic;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skutki wielkich odkryć geograficznych dla Nowego Świata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wpływ wielkich odkryć geograficznych na przemiany w gospodarce europejskiej;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charakteryzuje zmiany, </w:t>
            </w:r>
            <w:r>
              <w:rPr>
                <w:rFonts w:ascii="Times New Roman" w:hAnsi="Times New Roman" w:cs="Times New Roman"/>
              </w:rPr>
              <w:br/>
              <w:t xml:space="preserve">które zaszły w Nowym </w:t>
            </w:r>
            <w:r>
              <w:rPr>
                <w:rFonts w:ascii="Times New Roman" w:hAnsi="Times New Roman" w:cs="Times New Roman"/>
              </w:rPr>
              <w:br/>
              <w:t xml:space="preserve">Świecie w wyniku </w:t>
            </w:r>
            <w:r>
              <w:rPr>
                <w:rFonts w:ascii="Times New Roman" w:hAnsi="Times New Roman" w:cs="Times New Roman"/>
              </w:rPr>
              <w:br/>
              <w:t>jego podboju przez Europejczyków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traktatu z Tordesillas;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wyobrażenia Europejczyków o nieznanych ludach w XV w. i współcześnie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zasięg wyznań protestanckich;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zasady wyznań protestanckich: luteranizmu, kalwinizmu;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pokoju augsburskiego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przyczyny reformacji;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organizację kościołów protestanckich: luterańskiego, kalwińskiego;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powstanie kościoła anglikańskiego;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przebieg wojen religijnych w Niemczech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związki między religijnymi, gospodarczo-społecznymi i politycznymi przyczynami reformacji; 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zasady i organizację kościołów protestanckich: luterańskiego i kalwińskiego;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postulaty powstania chłopskiego w Niemczech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jaki wpływ na sukcesy reformacji miała sytuacja w Kościele katolickim w XVI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wyznanie kalwińskie uzyskało poparcie w Niderlandach;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stosunek Marcina Lutra do powstania chłopskiego w Niemczech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postanowienia pokoju augsburskiego i edyktu nantejskiego</w:t>
            </w:r>
          </w:p>
        </w:tc>
      </w:tr>
      <w:tr w:rsidR="008521B2" w:rsidTr="008521B2">
        <w:trPr>
          <w:trHeight w:val="3154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postanowienia soboru trydenckiego;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formy działalności jezuitów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soboru trydenckiego;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formy działalności jezuitów;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działalność Świętego Oficjum;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wyjaśnia, co to był </w:t>
            </w:r>
            <w:r>
              <w:rPr>
                <w:rStyle w:val="ITALICCONDENS"/>
                <w:rFonts w:ascii="Times New Roman" w:hAnsi="Times New Roman" w:cs="Times New Roman"/>
              </w:rPr>
              <w:t>Indeks Ksiąg Zakazanych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dzieli postanowienia soboru trydenckiego na dotyczące doktryny wiary i reformy kleru;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które z reform były reakcją na zarzuty protestantów wobec Kościoła katolickiego;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szkolnictwo jezuickie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jaki wpływ na różne dziedziny życia miały wyznania protestanckie, np. gospodarkę;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sztuki w propagowaniu wiary;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działalność misyjną jezuitów i ich stosunek do miejscowych kultur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wystrój zboru protestanckiego i kościoła katolickiego, a także wyjaśnia przyczyny różnic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edyktu nantejskiego;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obszary, które znalazły się pod władzą Habsburgów w XVI w.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proces centralizacji władzy państwowej;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armii w procesie centralizacji władzy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proces centralizacji władzy na przykładzie Anglii i Francji;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sposoby, w jakie Habsburgowie poszerzali terytorium znajdujące się pod ich władzą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związek między religijnymi i politycznymi przyczynami wojen religijnych we Francji;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reakcję Francji i Anglii na wzrost potęgi habsburskiej;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poglądy Jeana Bodina na władzę i ich rolę w procesie centralizacji władzy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politykę gospodarczą i religijną Filipa II i księcia Alby w Niderlandach</w:t>
            </w:r>
          </w:p>
        </w:tc>
      </w:tr>
      <w:tr w:rsidR="008521B2" w:rsidRPr="00D35232" w:rsidTr="008521B2">
        <w:trPr>
          <w:trHeight w:val="60"/>
        </w:trPr>
        <w:tc>
          <w:tcPr>
            <w:tcW w:w="12466" w:type="dxa"/>
            <w:gridSpan w:val="5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D35232"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II. Rzeczpospolita w XVI stuleciu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wojny z zakonem krzyżackim;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pokoju krakowskiego (hołd pruski);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tereny Inflant oraz ziemie, które </w:t>
            </w:r>
            <w:r>
              <w:rPr>
                <w:rFonts w:ascii="Times New Roman" w:hAnsi="Times New Roman" w:cs="Times New Roman"/>
              </w:rPr>
              <w:lastRenderedPageBreak/>
              <w:t>przypadły Polsce i Litwie po sekularyzacji zakonu kawalerów mieczowych;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państwa, w których na początku XVI w. panowali Jagiellonowie 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i skutki wojny o Inflanty w XVI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więzi, jakie łączyły Jagiellonów i Habsburgów;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przyczyny i konsekwencje układu dynastycznego zawartego </w:t>
            </w:r>
            <w:r>
              <w:rPr>
                <w:rFonts w:ascii="Times New Roman" w:hAnsi="Times New Roman" w:cs="Times New Roman"/>
              </w:rPr>
              <w:lastRenderedPageBreak/>
              <w:t>między Jagiellonami a Habsburgami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obszary sporne między Jagiellonami a Turcją;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konfliktu z Rosją;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znaczenie bitwy pod </w:t>
            </w:r>
            <w:proofErr w:type="spellStart"/>
            <w:r>
              <w:rPr>
                <w:rFonts w:ascii="Times New Roman" w:hAnsi="Times New Roman" w:cs="Times New Roman"/>
              </w:rPr>
              <w:t>Orszą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przedstawia wojnę o Inflanty jako element rywalizacji o wpływy nad Bałtykiem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wyjaśnia, na czym polegał program dominium </w:t>
            </w:r>
            <w:proofErr w:type="spellStart"/>
            <w:r>
              <w:rPr>
                <w:rFonts w:ascii="Times New Roman" w:hAnsi="Times New Roman" w:cs="Times New Roman"/>
              </w:rPr>
              <w:t>Maris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Baltici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działania ostatnich Jagiellonów (oprócz wojny o Inflanty), które miały na celu realizację tego programu;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przedstawia proces inkorporacji Mazowsza do Korony;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 politykę zagraniczną ostatnich Jagiellonów</w:t>
            </w:r>
          </w:p>
        </w:tc>
        <w:tc>
          <w:tcPr>
            <w:tcW w:w="2311" w:type="dxa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stosunki ostatnich Jagiellonów z Gdańskiem i rolę tego miasta w realizacji programu dominium </w:t>
            </w:r>
            <w:proofErr w:type="spellStart"/>
            <w:r>
              <w:rPr>
                <w:rFonts w:ascii="Times New Roman" w:hAnsi="Times New Roman" w:cs="Times New Roman"/>
              </w:rPr>
              <w:t>Maris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Baltici</w:t>
            </w:r>
            <w:proofErr w:type="spellEnd"/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uprawnienia sejmu;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unii lubelskiej;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sukcesy ruchu egzekucyjnego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rozwarstwienie stanu szlacheckiego w Polsce;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przekształcenia unii personalnej w unię realną;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pozycję polityczną szlachty;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strukturę i sposób obradowania sejmu;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genezę powstania szlacheckiego ruchu egzekucyjnego;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jaką rolę odegrał szlachecki ruch egzekucji praw w kształtowaniu się demokracji szlacheckiej;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pozycję i uprawnienia króla w systemie demokracji szlacheckiej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wyjaśnia, jaką rolę odegrała konstytucja nihil </w:t>
            </w:r>
            <w:proofErr w:type="spellStart"/>
            <w:r>
              <w:rPr>
                <w:rFonts w:ascii="Times New Roman" w:hAnsi="Times New Roman" w:cs="Times New Roman"/>
              </w:rPr>
              <w:t>novi</w:t>
            </w:r>
            <w:proofErr w:type="spellEnd"/>
            <w:r>
              <w:rPr>
                <w:rFonts w:ascii="Times New Roman" w:hAnsi="Times New Roman" w:cs="Times New Roman"/>
              </w:rPr>
              <w:t xml:space="preserve"> w kształtowaniu się demokracji szlacheckiej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problemy związane z zawarciem unii lubelskiej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ustrój Rzeczypospolitej w XVI w. nazywa się demokracją szlachecką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artykułów henrykowskich;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sposób wyboru króla po śmierci Zygmunta Augusta;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przykładowych kandydatów do tronu polskiego w czasie pierwszej wolnej elekcji;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tereny przyłączone do Rzeczypospolitej przez Stefana Batorego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organizację wolnych elekcji po wygaśnięciu dynastii Jagiellonów;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dokumenty, które musiał zaprzysiąc nowo wybrany władca;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i skutki wojen Stefana Batorego z Rosją;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wyprawy Stefana Batorego na Rosję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 sposób szlachta zabezpieczyła swoje prawa przed dążeniami absolutystycznymi kandydatów do tronu polskiego;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cele polityki zagranicznej Stefana Batorego i ocenia ich realizację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elekcję i panowanie Henryka Walezego;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związki między polityką wewnętrzną Stefana Batorego (sądy, wojsko) a polityką zagraniczną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stosunki Stefana Batorego z Gdańskiem;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charakteryzuje rolę Jana Zamoyskiego </w:t>
            </w:r>
            <w:r>
              <w:rPr>
                <w:rFonts w:ascii="Times New Roman" w:hAnsi="Times New Roman" w:cs="Times New Roman"/>
              </w:rPr>
              <w:br/>
              <w:t>u boku Stefana Batorego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przyczyny </w:t>
            </w:r>
            <w:r>
              <w:rPr>
                <w:rFonts w:ascii="Times New Roman" w:hAnsi="Times New Roman" w:cs="Times New Roman"/>
              </w:rPr>
              <w:lastRenderedPageBreak/>
              <w:t>reformacji w Rzeczypospolitej;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wyznania protestanckie, które stały się popularne wśród społeczeństwa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narody zamieszkujące Rzeczpospolitą w XVI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najważniejsze postanowienie konfederacji warszawskiej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czynniki, które </w:t>
            </w:r>
            <w:r>
              <w:rPr>
                <w:rFonts w:ascii="Times New Roman" w:hAnsi="Times New Roman" w:cs="Times New Roman"/>
              </w:rPr>
              <w:lastRenderedPageBreak/>
              <w:t>sprzyjały wzrostowi liczby ludności w XVI w. w Europie;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strukturę etniczną i wyznaniową Rzeczypospolitej w XVI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na związki między grupą etniczną a wyznaniem;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konfederacji warszawskiej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stopień </w:t>
            </w:r>
            <w:r>
              <w:rPr>
                <w:rFonts w:ascii="Times New Roman" w:hAnsi="Times New Roman" w:cs="Times New Roman"/>
              </w:rPr>
              <w:lastRenderedPageBreak/>
              <w:t>urbanizacji w Europie i Rzeczypospolitej w XVI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grupy społeczne, które przyjęły luteranizm i te, które przyjęły kalwinizm;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na czym polegała wyjątkowość konfederacji warszawskiej na tle stosunków religijnych w Europie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sytuację </w:t>
            </w:r>
            <w:r>
              <w:rPr>
                <w:rFonts w:ascii="Times New Roman" w:hAnsi="Times New Roman" w:cs="Times New Roman"/>
              </w:rPr>
              <w:lastRenderedPageBreak/>
              <w:t>demograficzną w Europie i Rzeczypospolitej w XVI w.;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które wyznania protestanckie były popularne w poszczególnych grupach społeczeństwa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arianie nie byli popularni wśród szlachty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uzasadnia, stwierdzenie, </w:t>
            </w:r>
            <w:r>
              <w:rPr>
                <w:rFonts w:ascii="Times New Roman" w:hAnsi="Times New Roman" w:cs="Times New Roman"/>
              </w:rPr>
              <w:lastRenderedPageBreak/>
              <w:t>że Rzeczpospolita była państwem bez stosów, przywołując różnorodne argumenty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obszar Rzeczypospolitej i rejony wydobycia surowców oraz kierunki handlu;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proces powiększania ziemi folwarcznej;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przyczyny kształtowania się folwarku pańszczyźnianego z uwzględnieniem sytuacji gospodarczej na Zachodzie Europy;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które regiony najbardziej korzystały na handlu zbożem;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ocenia bilans handlowy Rzeczypospolitej; 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sytuację </w:t>
            </w:r>
            <w:r>
              <w:rPr>
                <w:rFonts w:ascii="Times New Roman" w:hAnsi="Times New Roman" w:cs="Times New Roman"/>
              </w:rPr>
              <w:br/>
              <w:t>miast w Rzeczypospolitej XVI w.;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towary eksportowane i importowane przez Rzeczpospolitą;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kształtowania się folwarku pańszczyźnianego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grupy, których kosztem szlachta zwiększała areały folwarków;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pozycję Gdańska w handlu Rzeczypospolitej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handlu zbożem dla rozwoju gospodarczego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ograniczenia nakładane na chłopów przez szlachtę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przyczyny ograniczeń nakładanych na chłopów przez szlachtę;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gospodarkę rolną w Europie Zachodniej i Wschodniej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ocenia możliwości rozwoju miast w gospodarce </w:t>
            </w:r>
            <w:r>
              <w:rPr>
                <w:rFonts w:ascii="Times New Roman" w:hAnsi="Times New Roman" w:cs="Times New Roman"/>
              </w:rPr>
              <w:br/>
              <w:t>folwarczno-pańszczyźnianej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architektury renesansowej w Polsce oraz podaje przykłady zabytków;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przykładowych pisarzy odrodzenia w Polsce i </w:t>
            </w:r>
            <w:r>
              <w:rPr>
                <w:rFonts w:ascii="Times New Roman" w:hAnsi="Times New Roman" w:cs="Times New Roman"/>
              </w:rPr>
              <w:lastRenderedPageBreak/>
              <w:t>ich dzieła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sztuki renesansowej w Polsce oraz podaje przykłady zabytków;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rozpoznaje budowle renesansowe;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przedstawia rolę Krakowa jako ośrodka życia kulturalnego i naukowego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mecenatu królewskiego i magnackiego w rozwoju kultury polskiego odrodzenia;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poglądy </w:t>
            </w:r>
            <w:r>
              <w:rPr>
                <w:rFonts w:ascii="Times New Roman" w:hAnsi="Times New Roman" w:cs="Times New Roman"/>
              </w:rPr>
              <w:lastRenderedPageBreak/>
              <w:t>na państwo oraz społeczeństwo Andrzeja Frycza Modrzewskiego i Stanisława Orzechowskiego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czynniki, które sprzyjały rozwojowi humanizmu i renesansu na ziemiach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ocenia rolę fundacji Zamościa przez Jana Zamoyskiego w </w:t>
            </w:r>
            <w:r>
              <w:rPr>
                <w:rFonts w:ascii="Times New Roman" w:hAnsi="Times New Roman" w:cs="Times New Roman"/>
              </w:rPr>
              <w:lastRenderedPageBreak/>
              <w:t>rozwoju kultury w Rzeczypospolitej epoki odrodzenia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wkład protestantów w rozwój kultury polskiej epoki renesansu;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przykładowych twórców i zabytki </w:t>
            </w:r>
            <w:r>
              <w:rPr>
                <w:rFonts w:ascii="Times New Roman" w:hAnsi="Times New Roman" w:cs="Times New Roman"/>
              </w:rPr>
              <w:lastRenderedPageBreak/>
              <w:t>związane z kręgiem protestanckim</w:t>
            </w:r>
          </w:p>
        </w:tc>
      </w:tr>
      <w:tr w:rsidR="008521B2" w:rsidTr="008521B2">
        <w:trPr>
          <w:trHeight w:val="60"/>
        </w:trPr>
        <w:tc>
          <w:tcPr>
            <w:tcW w:w="12466" w:type="dxa"/>
            <w:gridSpan w:val="5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</w:p>
          <w:p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D35232"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III. Europa w XVII wieku</w:t>
            </w:r>
          </w:p>
          <w:p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rewolucji w Anglii;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cechy monarchii parlamentarnej w Anglii na przełomie XVII i XVIII w.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zmiany, które zaszły w Anglii w wyniku wojny domowej;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i skutki chwalebnej rewolucji;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stosunki pierwszych Stuartów z parlamentem i wyjaśnia przyczyny konfliktów;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relacje pierwszych Stuartów ze społeczeństwem;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sformułowanie, że w Anglii „król panuje, ale nie rządzi”;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monarchii parlamentarnej w Anglii na przełomie XVII i XVIII w.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dokumenty, które ukształtowały ustrój w Anglii na przełomie </w:t>
            </w:r>
            <w:r>
              <w:rPr>
                <w:rFonts w:ascii="Times New Roman" w:hAnsi="Times New Roman" w:cs="Times New Roman"/>
              </w:rPr>
              <w:br/>
              <w:t>XVII i XVIII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pozycję i uprawnienia parlamentu w Anglii na przełomie </w:t>
            </w:r>
            <w:r>
              <w:rPr>
                <w:rFonts w:ascii="Times New Roman" w:hAnsi="Times New Roman" w:cs="Times New Roman"/>
              </w:rPr>
              <w:br/>
              <w:t>XVII i XVIII w.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rolę Olivera Cromwella w trakcie rewolucji angielskiej </w:t>
            </w:r>
            <w:r>
              <w:rPr>
                <w:rFonts w:ascii="Times New Roman" w:hAnsi="Times New Roman" w:cs="Times New Roman"/>
              </w:rPr>
              <w:br/>
              <w:t>i po jej zakończeniu;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pozycję i uprawnienia króla w Anglii, a także wzajemne relacje króla i parlamentu na przełomie XVII i XVIII w.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pozycję i uprawnienia parlamentu angielskiego (przełom </w:t>
            </w:r>
            <w:r>
              <w:rPr>
                <w:rFonts w:ascii="Times New Roman" w:hAnsi="Times New Roman" w:cs="Times New Roman"/>
              </w:rPr>
              <w:br/>
              <w:t>XVII i XVIII w.) i sejmu polskiego (koniec XVI w.)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przyczyny wojny trzydziestoletniej;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zmiany terytorialne, które zaszły </w:t>
            </w:r>
            <w:r>
              <w:rPr>
                <w:rFonts w:ascii="Times New Roman" w:hAnsi="Times New Roman" w:cs="Times New Roman"/>
              </w:rPr>
              <w:br/>
              <w:t>na mocy pokoju westfalskiego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wojny trzydziestoletniej;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obozy walczące w wojnie trzydziestoletniej;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Francja przyłączyła się do wojny trzydziestoletniej po stronie protestantów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skutki wojny trzydziestoletniej, dzieląc je na religijne, ustrojowe i polityczne;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układ sił w Europie po wojnie trzydziestoletniej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przedstawia, w jaki sposób wojna trzydziestoletnia dotknęła ludność cywilną;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politykę zagraniczną Francji w XVII w.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związki między przyczynami religijnymi, politycznymi i gospodarczymi wojny trzydziestoletniej;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znaczenie bitwy pod Białą Górą dla Czechów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definiuje pojęcia: racjonalizm i empiryzm;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architektury baroku i podaje przykłady zabytków;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przykładowych pisarzy doby baroku </w:t>
            </w:r>
            <w:r>
              <w:rPr>
                <w:rFonts w:ascii="Times New Roman" w:hAnsi="Times New Roman" w:cs="Times New Roman"/>
              </w:rPr>
              <w:br/>
              <w:t>i ich dzieła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sztuki baroku i podaje przykłady zabytków;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rozpoznaje dzieła sztuki barokowej;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przykładowych kompozytorów doby baroku i ich dzieła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różne </w:t>
            </w:r>
            <w:r>
              <w:rPr>
                <w:rFonts w:ascii="Times New Roman" w:hAnsi="Times New Roman" w:cs="Times New Roman"/>
              </w:rPr>
              <w:br/>
              <w:t xml:space="preserve">sposoby badawcze, </w:t>
            </w:r>
            <w:r>
              <w:rPr>
                <w:rFonts w:ascii="Times New Roman" w:hAnsi="Times New Roman" w:cs="Times New Roman"/>
              </w:rPr>
              <w:br/>
              <w:t>które rozwinęły się w XVII w.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literaturę i muzykę doby baroku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różne nurty w sztuce baroku;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Francji i Niderlandów w rozwoju kultury epoki baroku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osiągnięcia naukowe i wynalazki XVII w.</w:t>
            </w:r>
          </w:p>
        </w:tc>
      </w:tr>
      <w:tr w:rsidR="008521B2" w:rsidTr="008521B2">
        <w:trPr>
          <w:trHeight w:val="60"/>
        </w:trPr>
        <w:tc>
          <w:tcPr>
            <w:tcW w:w="12466" w:type="dxa"/>
            <w:gridSpan w:val="5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Pr="00E22161" w:rsidRDefault="008521B2" w:rsidP="00E22161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E22161">
              <w:rPr>
                <w:rStyle w:val="BOLDCONDENS"/>
                <w:rFonts w:ascii="Times New Roman" w:hAnsi="Times New Roman" w:cs="Times New Roman"/>
                <w:bCs w:val="0"/>
                <w:sz w:val="24"/>
                <w:szCs w:val="24"/>
              </w:rPr>
              <w:t>IV. Rzeczpospolita w dobie wojen XVII w.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zmiany terytorialne po wojnach z Rosją w I połowie XVII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wojen polsko-szwedzkich w I połowie XVII w.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najważniejszych bitew z wojen polsko-szwedzkich w I połowie XVII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skutki wojen polsko-szwedzkich w I połowie XVII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wojen z Rosją i Turcją w I połowie XVII w.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warunki umowy Stanisława Żółkiewskiego z bojarami rosyjskimi;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wojsko Rzeczypospolitej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międzynarodowe uwarunkowania wojen polsko-szwedzkich w I połowie XVII w. </w:t>
            </w:r>
            <w:r>
              <w:rPr>
                <w:rFonts w:ascii="Times New Roman" w:hAnsi="Times New Roman" w:cs="Times New Roman"/>
              </w:rPr>
              <w:br/>
              <w:t>i ich wpływ na postanowienia zawieranych rozejmów;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wpływ sytuacji międzynarodowej na wybuch wojny Rzeczypospolitej z Turcją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zasięg powstania Chmielnickiego i najważniejsze bitwy;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zmiany terytorialne po wojnie z Rosją w II połowie XVII w.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powstania Chmielnickiego;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wojny z Rosją w II połowie XVII w.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różnorodność konfliktów na Ukrainie i wskazuje na ich związek z wybuchem powstania Chmielnickiego;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ugód z Kozakami i wyjaśnia, co było przyczyną zmian warunków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która z ugód dawała największe uprawnienia ludności ruskiej i jakie były szanse na ich realizację;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 skutki wojen z Rosją dla Rzeczypospolitej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jakich okolicznościach powrócono do koncepcji Rzeczypospolitej Trojga Narodów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zasięg potopu szwedzkiego i miejsca </w:t>
            </w:r>
            <w:r>
              <w:rPr>
                <w:rFonts w:ascii="Times New Roman" w:hAnsi="Times New Roman" w:cs="Times New Roman"/>
              </w:rPr>
              <w:lastRenderedPageBreak/>
              <w:t>najważniejszych bitew;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potopu szwedzkiego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charakteryzuje postawy szlachty wobec Szwedów w </w:t>
            </w:r>
            <w:r>
              <w:rPr>
                <w:rFonts w:ascii="Times New Roman" w:hAnsi="Times New Roman" w:cs="Times New Roman"/>
              </w:rPr>
              <w:lastRenderedPageBreak/>
              <w:t>czasie potopu szwedzkiego;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sojuszników Rzeczypospolitej w trakcie potopu szwedzkiego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postanowienia układu w </w:t>
            </w:r>
            <w:proofErr w:type="spellStart"/>
            <w:r>
              <w:rPr>
                <w:rFonts w:ascii="Times New Roman" w:hAnsi="Times New Roman" w:cs="Times New Roman"/>
              </w:rPr>
              <w:t>Radnot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przedstawia okoliczności podpisania i postanowienia traktatów </w:t>
            </w:r>
            <w:proofErr w:type="spellStart"/>
            <w:r>
              <w:rPr>
                <w:rFonts w:ascii="Times New Roman" w:hAnsi="Times New Roman" w:cs="Times New Roman"/>
              </w:rPr>
              <w:t>welawsko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-bydgoskich;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pokoju w Oliwie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ocenia skutki wojen ze Szwedami </w:t>
            </w:r>
            <w:r>
              <w:rPr>
                <w:rFonts w:ascii="Times New Roman" w:hAnsi="Times New Roman" w:cs="Times New Roman"/>
              </w:rPr>
              <w:lastRenderedPageBreak/>
              <w:t>dla Rzeczypospolitej, biorąc pod uwagę kwestie polityczne, gospodarcze i kulturalne;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jakie zagrożenie mogła stanowić dla Rzeczypospolitej niezależność Prus Książęcych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postępowanie Janusza Radziwiłła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i Stefana Czarnieckiego wobec Szwedów;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przez kogo Janusz Radziwiłł może być uważany za patriotę, a przez kogo – za zdrajcę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obszary zajęte przez imperium osmańskie;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przyczyny </w:t>
            </w:r>
            <w:r>
              <w:rPr>
                <w:rFonts w:ascii="Times New Roman" w:hAnsi="Times New Roman" w:cs="Times New Roman"/>
              </w:rPr>
              <w:br/>
              <w:t xml:space="preserve">wojen z Turcją </w:t>
            </w:r>
            <w:r>
              <w:rPr>
                <w:rFonts w:ascii="Times New Roman" w:hAnsi="Times New Roman" w:cs="Times New Roman"/>
              </w:rPr>
              <w:br/>
              <w:t>w II połowie XVII w.;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postanowienia traktatu w Buczaczu i rozejmu w Żurawnie;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postawy Tatarów zamieszkujących Rzeczpospolitą w czasie wojen z Turcją;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daje przykłady przedstawiania wiktorii wiedeńskiej w literaturze i sztuce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bitew z Turkami w II połowie XVII w.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zmiany terytorialne po wojnach z Turcją w II połowie XVII w. (traktat w Buczaczu, rozejm w Żurawnie, pokój w Karłowicach)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ustrój i sytuację religijną w imperium osmańskim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czy wiktoria wiedeńska przyniosła efekty proporcjonalne do odniesionego zwycięstwa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gospodarczo-społeczne skutki XVII-wiecznych wojen dla 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reformy ustrojowe proponowane przez królów z dynastii Wazów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sytuację majątkową magnaterii;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funkcjonowanie sejmu walnego w XVII w. i wyjaśnia, co utrudniało przyjmowanie konstytucji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reakcję szlachty na reformy ustrojowe proponowane przez Wazów;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czynniki, które przyczyniły się do wzrostu pozycji magnaterii w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zawarcia unii brzeskiej i jej postanowienia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 wojny XVII w. prowadzone przez Rzeczpospolitą wpłynęły na sytuację religijną w państwie;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czy w II połowie XVII w. możemy mówić o oligarchii magnackiej jako formie ustroju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zależności między demograficznymi i gospodarczymi skutkami XVII-wiecznych wojen dla Rzeczypospolitej, uwzględnia również kontekst </w:t>
            </w:r>
            <w:r>
              <w:rPr>
                <w:rFonts w:ascii="Times New Roman" w:hAnsi="Times New Roman" w:cs="Times New Roman"/>
              </w:rPr>
              <w:lastRenderedPageBreak/>
              <w:t>europejski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czy Piotr Skarga mógł wspierać projekty reform ustrojowych Zygmunta III Wazy i w jaki sposób mógł to robić</w:t>
            </w:r>
          </w:p>
        </w:tc>
      </w:tr>
      <w:tr w:rsidR="008521B2" w:rsidTr="008521B2">
        <w:trPr>
          <w:trHeight w:val="3159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architektury baroku i podaje przykłady zabytków z terenu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sarmatyzmu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sztuki baroku i podaje przykłady zabytków z terenów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rozpoznaje budowle barokowe z terenów Rzeczypospolitej;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gatunki literackie, które rozwinęły się </w:t>
            </w:r>
            <w:r>
              <w:rPr>
                <w:rFonts w:ascii="Times New Roman" w:hAnsi="Times New Roman" w:cs="Times New Roman"/>
              </w:rPr>
              <w:br/>
              <w:t>w epoce baroku, i przykładowych twórców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wpływy wschodnie w kulturze sarmackiej;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tematykę i cechy charakterystyczne piśmiennictwa polskiego epoki baroku oraz jego twórców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 sposób ideologia sarmatyzmu wpływała na obyczajowość szlachty;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 sposób sytuacja polityczna wpływała na postawy i przekonania szlachty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ocenia, w jakim stopniu </w:t>
            </w:r>
            <w:r>
              <w:rPr>
                <w:rStyle w:val="ITALICCONDENS"/>
                <w:rFonts w:ascii="Times New Roman" w:hAnsi="Times New Roman" w:cs="Times New Roman"/>
              </w:rPr>
              <w:t>Nowe Ateny…</w:t>
            </w:r>
            <w:r>
              <w:rPr>
                <w:rFonts w:ascii="Times New Roman" w:hAnsi="Times New Roman" w:cs="Times New Roman"/>
              </w:rPr>
              <w:t xml:space="preserve"> księdza Benedykta Chmielowskiego oddają poziom wykształcenia szlachty polskiej XVII w.</w:t>
            </w:r>
          </w:p>
        </w:tc>
      </w:tr>
      <w:tr w:rsidR="008521B2" w:rsidTr="008521B2">
        <w:trPr>
          <w:trHeight w:val="60"/>
        </w:trPr>
        <w:tc>
          <w:tcPr>
            <w:tcW w:w="12466" w:type="dxa"/>
            <w:gridSpan w:val="5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</w:p>
          <w:p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D35232"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V. Europa i świat w XVIII w.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idee oświecenia;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poglądy Monteskiusza;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kultury klasycystycznej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sposoby propagowania idei oświecenia;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poglądy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Jeana-Jacques’a</w:t>
            </w:r>
            <w:proofErr w:type="spellEnd"/>
            <w:r>
              <w:rPr>
                <w:rFonts w:ascii="Times New Roman" w:hAnsi="Times New Roman" w:cs="Times New Roman"/>
              </w:rPr>
              <w:t xml:space="preserve"> Rousseau;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podaje definicję absolutyzmu oświeconego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przyczyny rozwoju filozofii oświecenia;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poglądy filozofów oświecenia na władzę;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dzieła sztuki klasycystycznej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poglądy filozofów oświecenia na religię;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rolę </w:t>
            </w:r>
            <w:r>
              <w:rPr>
                <w:rStyle w:val="ITALICCONDENS"/>
                <w:rFonts w:ascii="Times New Roman" w:hAnsi="Times New Roman" w:cs="Times New Roman"/>
              </w:rPr>
              <w:t>Encyklopedii</w:t>
            </w:r>
            <w:r>
              <w:rPr>
                <w:rFonts w:ascii="Times New Roman" w:hAnsi="Times New Roman" w:cs="Times New Roman"/>
              </w:rPr>
              <w:t>… i salonów filozoficznych w rozwoju myśli oświeceniowej;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absolutyzm oświecony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salonów literackich i kobiet je prowadzących w rozwoju kultury epoki oświecenia;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rozwój nauki i oświaty w epoce oświecenia</w:t>
            </w:r>
          </w:p>
        </w:tc>
      </w:tr>
      <w:tr w:rsidR="008521B2" w:rsidTr="008521B2">
        <w:trPr>
          <w:trHeight w:val="3359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reformy przeprowadzone w Rosji;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cele wojny północnej stawiane przez Rosję;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ekspansję terytorialną </w:t>
            </w:r>
            <w:r>
              <w:rPr>
                <w:rFonts w:ascii="Times New Roman" w:hAnsi="Times New Roman" w:cs="Times New Roman"/>
              </w:rPr>
              <w:br/>
              <w:t>Rosji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dzieli przeprowadzone przez Piotra I reformy na administracyjne, wojskowe i kulturalne;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Petersburga;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reformy Katarzyny II i wskazuje, w jakich dziedzinach kontynuowała ona reformy Piotra I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cele wprowadzania poszczególnych grup reform w Rosji;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na czym polegał proces europeizacji Rosji podjęty przez Piotra 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przebieg i skutki wojny północnej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politykę carów wobec cerkwi prawosławnej;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na czym polegała i jaką miała genezę idea Moskwy jako trzeciego Rzymu;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uzasadnia, że mimo przeprowadzanych reform w przypadku Rosji możemy w dalszym ciągu mówić o samodzierżawiu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Petersburg był nazywany Wenecją Północy, a Katarzyna II – Semiramidą Północy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reformy przeprowadzone w Prusach i Austrii;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zasięg ekspansji terytorialnej Prus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dzieli reformy przeprowadzone w Prusach i Austrii na administracyjne, gospodarcze i związane z epoką oświecenia;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które reformy w Prusach były związane z ich ekspansją terytorialną;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politykę józefinizmu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cele wprowadzania poszczególnych grup reform w Prusach i Austrii;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 jaki sposób przeprowadzane reformy wpływały na wzmocnienie władzy monarszej;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wzrost pozycji Prus na arenie międzynarodowej w XVIII w.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jakie znaczenie gospodarcze miały tereny zajęte przez Prusy w XVIII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 Fryderyk II i Józef II widzieli rolę władcy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politykę Marii Teresy wobec Czechów i Węgrów;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co było przyczyną różnic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wojny o niepodległość;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najważniejszych bitew;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federalne organy władzy i ich przykładowe </w:t>
            </w:r>
            <w:r>
              <w:rPr>
                <w:rFonts w:ascii="Times New Roman" w:hAnsi="Times New Roman" w:cs="Times New Roman"/>
              </w:rPr>
              <w:lastRenderedPageBreak/>
              <w:t>kompetencje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organizację kolonii angielskich w połowie XVIII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politykę Wielkiej Brytanii wobec kolonii;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kompetencje </w:t>
            </w:r>
            <w:r>
              <w:rPr>
                <w:rFonts w:ascii="Times New Roman" w:hAnsi="Times New Roman" w:cs="Times New Roman"/>
              </w:rPr>
              <w:lastRenderedPageBreak/>
              <w:t>federalnych organów władzy i charakteryzuje wzajemne relacje między nimi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 sposób polityka gospodarcza Wielkiej Brytanii wobec kolonii doprowadziła do konfliktu kolonii z metropolią;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wyjaśnia wpływ idei oświecenia na stosunki kolonii z Wielką Brytanią;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realizację idei oświeceniowych w </w:t>
            </w:r>
            <w:r>
              <w:rPr>
                <w:rStyle w:val="ITALICCONDENS"/>
                <w:rFonts w:ascii="Times New Roman" w:hAnsi="Times New Roman" w:cs="Times New Roman"/>
              </w:rPr>
              <w:t>Deklaracji Niepodległości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różne przyczyny wojny o niepodległość i wskazuje na związki między nimi;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stosunek państw i społeczeństw Europy do wojny </w:t>
            </w:r>
            <w:r>
              <w:rPr>
                <w:rFonts w:ascii="Times New Roman" w:hAnsi="Times New Roman" w:cs="Times New Roman"/>
              </w:rPr>
              <w:lastRenderedPageBreak/>
              <w:t>o niepodległość Stanów Zjednoczonych;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realizację idei oświeceniowych w Konstytucji Stanów Zjednoczonych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prezentuje sylwetki ojców założycieli</w:t>
            </w:r>
          </w:p>
        </w:tc>
      </w:tr>
      <w:tr w:rsidR="008521B2" w:rsidTr="008521B2">
        <w:trPr>
          <w:trHeight w:val="2788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przyczyny Wielkiej Rewolucji Francuskiej;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postanowienia </w:t>
            </w:r>
            <w:r>
              <w:rPr>
                <w:rStyle w:val="ITALICCONDENS"/>
                <w:rFonts w:ascii="Times New Roman" w:hAnsi="Times New Roman" w:cs="Times New Roman"/>
              </w:rPr>
              <w:t>Deklaracji Praw Człowieka i Obywatela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organy władzy i ich kompetencje wprowadzone na mocy konstytucji z 1791 r.;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dzieli przyczyny Wielkiej Rewolucji Francuskiej na ustrojowe, gospodarcze i społeczne;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proces kształtowania się Konstytuanty;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klubów politycznych;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przykładowe związki przyczynowo-</w:t>
            </w:r>
            <w:r>
              <w:rPr>
                <w:rFonts w:ascii="Times New Roman" w:hAnsi="Times New Roman" w:cs="Times New Roman"/>
              </w:rPr>
              <w:br/>
              <w:t>-skutkowe między różnymi wydarzeniami, które doprowadziły do wybuchu Wielkiej Rewolucji Francuskiej;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wskazuje związki </w:t>
            </w:r>
            <w:proofErr w:type="spellStart"/>
            <w:r>
              <w:rPr>
                <w:rFonts w:ascii="Times New Roman" w:hAnsi="Times New Roman" w:cs="Times New Roman"/>
              </w:rPr>
              <w:t>przyczynowo-skutkowe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między różnymi wydarzeniami, które doprowadziły do wybuchu Wielkiej Rewolucji Francuskiej;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znaczenie symboli Wielkiej Rewolucji Francuskiej;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kręgi cywilizacyjne, z których wywodziła się część </w:t>
            </w:r>
            <w:r>
              <w:rPr>
                <w:rFonts w:ascii="Times New Roman" w:hAnsi="Times New Roman" w:cs="Times New Roman"/>
              </w:rPr>
              <w:br/>
              <w:t>z tych symboli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wojny z Austrią;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kluby polityczne z czasów Wielkiej Rewolucji Francuskiej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symbole Wielkiej Rewolucji Francuskiej;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okoliczności wprowadzenia we Francji republiki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wpływ idei oświeceniowych na wybuch Wielkiej Rewolucji Francuskiej;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przemiany społeczno-</w:t>
            </w:r>
            <w:r>
              <w:rPr>
                <w:rFonts w:ascii="Times New Roman" w:hAnsi="Times New Roman" w:cs="Times New Roman"/>
              </w:rPr>
              <w:br/>
              <w:t>-gospodarcze, które zaszły we Francji w latach 1789–1790;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realizację idei oświeceniowych w dokumentach przyjętych przez Konstytuantę;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przebieg wojny Francji z I koalicją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przemiany społeczno-gospodarcze, które zaszły we Francji w latach 1789–1790;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które ze zmian społeczno-gospodarczych likwidowały przyczyny Wielkiej Rewolucji Francuskiej;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wpływ wojny Francji z I koalicją na utworzenie republiki i działania Konwentu;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stronnictwa polityczne działające w trakcie Wielkiej Rewolucji Francuskiej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na czym polegał terror jakobiński;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konstytucji dyrektoriatu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przyczyny zamachu </w:t>
            </w:r>
            <w:proofErr w:type="spellStart"/>
            <w:r>
              <w:rPr>
                <w:rFonts w:ascii="Times New Roman" w:hAnsi="Times New Roman" w:cs="Times New Roman"/>
              </w:rPr>
              <w:t>termidoriańskiego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zmiany, jakie zaszły w społeczeństwie francuskim w wyniku Wielkiej Rewolucji Francuskiej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w czasie wojny z I koalicją wzrosła pozycja jakobinów;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stosunek jakobinów do religii i Kościoła katolickiego, a także wyjaśnia, w czym się on przejawiał;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różne oceny Wielkiej Rewolucji Francuskiej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opór społeczeństwa francuskiego wobec rządów jakobinów;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związek między dokumentami wydawanymi w czasie </w:t>
            </w:r>
            <w:r>
              <w:rPr>
                <w:rFonts w:ascii="Times New Roman" w:hAnsi="Times New Roman" w:cs="Times New Roman"/>
              </w:rPr>
              <w:br/>
              <w:t>Wielkiej Rewolucji Francuskiej a przemianami społecznymi i życia politycznego we Francji;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 znaczenie Wielkiej Rewolucji Francuskiej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interpretuje źródła ikonograficzne związane z dyktaturą jakobinów</w:t>
            </w:r>
          </w:p>
        </w:tc>
      </w:tr>
      <w:tr w:rsidR="008521B2" w:rsidTr="008521B2">
        <w:trPr>
          <w:trHeight w:val="60"/>
        </w:trPr>
        <w:tc>
          <w:tcPr>
            <w:tcW w:w="12466" w:type="dxa"/>
            <w:gridSpan w:val="5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</w:p>
          <w:p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D35232"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VI. Rzeczpospolita w XVIII wieku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zmiany w kulturze w epoce saskiej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udział Rzeczypospolitej w wojnie północnej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projekty reform przedstawione przez Stanisława Leszczyńskiego i Stanisława Konarskiego;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rolę mecenatu królewskiego w rozwoju kultury oświecenia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sytuację gospodarczą Rzeczypospolitej w I połowie XVIII w.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Style w:val="BulletsandNumbers1BulletsandNumbers"/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Rzeczpospolitą jako podmiot w stosunkach międzynarodowych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reformy przeprowadzone w pierwszych latach panowania Stanisława Augusta Poniatowskiego;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prawa kardynalne;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tereny utracone przez Rzeczpospolitą podczas </w:t>
            </w:r>
            <w:r>
              <w:rPr>
                <w:rFonts w:ascii="Times New Roman" w:hAnsi="Times New Roman" w:cs="Times New Roman"/>
              </w:rPr>
              <w:lastRenderedPageBreak/>
              <w:t>I rozbioru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jakich dziedzinach przeprowadzono reformy w pierwszych latach panowania Stanisława Augusta i dlaczego;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konfederacji barskiej;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okoliczności uchwalenia praw </w:t>
            </w:r>
            <w:r>
              <w:rPr>
                <w:rFonts w:ascii="Times New Roman" w:hAnsi="Times New Roman" w:cs="Times New Roman"/>
              </w:rPr>
              <w:lastRenderedPageBreak/>
              <w:t>kardynalnych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stosunek szlachty do konieczności przeprowadzenia reform ustrojowych w Rzeczypospolitej i wyjaśnia, co wpływało na jej stanowisko;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działania Rosji, które świadczą o jej </w:t>
            </w:r>
            <w:r>
              <w:rPr>
                <w:rFonts w:ascii="Times New Roman" w:hAnsi="Times New Roman" w:cs="Times New Roman"/>
              </w:rPr>
              <w:lastRenderedPageBreak/>
              <w:t>ingerencji w wewnętrzne sprawy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skutki konfederacji barskiej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sprawa dysydentów była łatwym pretekstem dla państw ościennych do ingerowania w wewnętrzne sprawy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argumenty państw zaborczych uzasadniające I rozbiór Rzeczypospolitej i </w:t>
            </w:r>
            <w:r>
              <w:rPr>
                <w:rFonts w:ascii="Times New Roman" w:hAnsi="Times New Roman" w:cs="Times New Roman"/>
              </w:rPr>
              <w:lastRenderedPageBreak/>
              <w:t>reakcję Polaków;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które z państw zaborczych odniosło największe korzyści z rozbioru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przedstawia, w jaki sposób Francja i Turcja wsparły konfederację barską;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Francja i Turcja wspierały Polaków przeciw Rosji</w:t>
            </w:r>
          </w:p>
        </w:tc>
      </w:tr>
      <w:tr w:rsidR="008521B2" w:rsidTr="008521B2">
        <w:trPr>
          <w:trHeight w:val="3154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zmiany w programach nauczania w szkołach w I połowie XVIII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działalność i znaczenie Komisji Edukacji Narodowej;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przykłady </w:t>
            </w:r>
            <w:r>
              <w:rPr>
                <w:rFonts w:ascii="Times New Roman" w:hAnsi="Times New Roman" w:cs="Times New Roman"/>
              </w:rPr>
              <w:br/>
              <w:t xml:space="preserve">dzieł sztuki z XVIII w. </w:t>
            </w:r>
            <w:r>
              <w:rPr>
                <w:rFonts w:ascii="Times New Roman" w:hAnsi="Times New Roman" w:cs="Times New Roman"/>
              </w:rPr>
              <w:br/>
              <w:t>i ich twórców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przemiany oświeceniowe w programach szkolnych;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wyjaśnia rolę mecenatu Stanisława Augusta Poniatowskiego w rozwoju sztuki w II połowie </w:t>
            </w:r>
            <w:r>
              <w:rPr>
                <w:rFonts w:ascii="Times New Roman" w:hAnsi="Times New Roman" w:cs="Times New Roman"/>
              </w:rPr>
              <w:br/>
              <w:t>XVIII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działalność i znaczenie Towarzystwa do Ksiąg Elementarnych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rozwój szkolnictwa w XVIII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przemiany oświeceniowe w szkolnictwie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rozwój kultury Rzeczypospolitej XVIII w.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związki między kulturą a życiem politycznym w Rzeczypospolitej XVIII w.;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czasopism wydawanych w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postawę oświeconego sarmatyzmu na tle epoki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Warszawy jako ośrodka kulturalnego XVIII-wiecznej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wpływ mecenatu magnackiego na rozwój kultury</w:t>
            </w:r>
          </w:p>
        </w:tc>
      </w:tr>
      <w:tr w:rsidR="008521B2" w:rsidTr="008521B2">
        <w:trPr>
          <w:trHeight w:val="648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przykłady działania Rady </w:t>
            </w:r>
            <w:r>
              <w:rPr>
                <w:rFonts w:ascii="Times New Roman" w:hAnsi="Times New Roman" w:cs="Times New Roman"/>
              </w:rPr>
              <w:br/>
              <w:t>Nieustającej;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stronnictwa działające w czasie Sejmu Wielkiego i najważniejsze punkty ich programów;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najważniejsze postanowienia Konstytucji 3 maja;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tereny, które Rzeczpospolita utraciła w wyniku II rozbioru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strukturę Rady Nieustającej;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sytuację międzynarodową Rzeczypospolitej w czasie obrad Sejmu Wielkiego;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ustawy o miastach i Konstytucji 3 maja;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nawiązania do myśli oświeceniowej w uchwałach Sejmu Wielkiego;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i skutki konfederacji targowickiej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jaką rolę miała odgrywać Rada Nieustająca;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 sytuacja międzynarodowa wpłynęła na swobodę podejmowania decyzji na Sejmie Czteroletnim;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reformy Sejmu Wielkiego i ocenia szanse ich wprowadzenia w życie;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podpisania konfederacji targowickiej i jej przywódców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okoliczności uchwalenia ustawy o miastach i wyjaśnia, jakie zmiany w funkcjonowaniu państwa mogła przynieść jej pełna realizacja;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przebieg konfederacji targowickiej, wojny w obronie Konstytucji 3 maja;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okoliczności II rozbioru Rzeczypospolitej;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na co liczył Stanisław August Poniatowski, przystępując do Targowicy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czy działania i ustępstwa Stanisława Augusta Poniatowskiego przyniosły oczekiwane przez króla efekty</w:t>
            </w:r>
          </w:p>
        </w:tc>
      </w:tr>
      <w:tr w:rsidR="008521B2" w:rsidTr="008521B2">
        <w:trPr>
          <w:trHeight w:val="4376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insurekcji kościuszkowskiej;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walk w trakcie insurekcji kościuszkowskiej;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podział Rzeczypospolitej w wyniku III rozbioru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skutki insurekcji kościuszkowskiej;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uniwersału połanieckiego;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które z państw rozbiorowych osiągnęło największe korzyści z zajętych ziem Rzeczypospolitej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sytuację polityczną Rzeczypospolitej po II rozbiorze;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działania Tadeusza Kościuszki zmierzające do objęcia powstaniem, jak najszerszych kręgów społecznych;</w:t>
            </w:r>
          </w:p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okoliczności III rozbioru Rzeczypospolitej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proces radykalizacji postaw Polaków w czasie insurekcji kościuszkowskiej;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stosunek Prus do powstania kościuszkowskiego;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udział chłopów w insurekcji kościuszkowskiej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działalność Jakuba Jasińskiego </w:t>
            </w:r>
            <w:r>
              <w:rPr>
                <w:rFonts w:ascii="Times New Roman" w:hAnsi="Times New Roman" w:cs="Times New Roman"/>
              </w:rPr>
              <w:br/>
              <w:t>i Jana Kilińskiego w trakcie insurekcji kościuszkowskiej</w:t>
            </w:r>
          </w:p>
        </w:tc>
      </w:tr>
      <w:tr w:rsidR="008521B2" w:rsidTr="008521B2">
        <w:trPr>
          <w:trHeight w:val="60"/>
        </w:trPr>
        <w:tc>
          <w:tcPr>
            <w:tcW w:w="12466" w:type="dxa"/>
            <w:gridSpan w:val="5"/>
            <w:tcBorders>
              <w:top w:val="single" w:sz="6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</w:p>
          <w:p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VII. EPOKA NAPOLEOŃSKA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działania Polaków zmierzające do zachowania i rozwijania dorobku kulturalnego;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bitew stoczonych przez Legiony Polskie;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działania Napoleona na ziemiach zaboru pruskiego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działania </w:t>
            </w:r>
            <w:r>
              <w:rPr>
                <w:rFonts w:ascii="Times New Roman" w:hAnsi="Times New Roman" w:cs="Times New Roman"/>
              </w:rPr>
              <w:br/>
              <w:t>Izabeli Czartoryskiej i Stanisława Staszica zmierzające do zachowania i rozwijania dorobku kulturalnego;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powstanie i walki Legionów Polskich;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udział Polaków w wojnie z Prusami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działania Polaków zmierzające do odzyskania niepodległości pod zaborami i na emigracji;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wpływ haseł rewolucji francuskiej na funkcjonowanie Legionów Polskich;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stosunek Napoleona do Polaków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stosunek Napoleona do dążeń Polaków do odzyskania niepodległości;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Napoleon był zainteresowany udziałem Polaków w wojnie z Prusami w latach 1806–1807;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koncepcję Adama Czartoryskiego odbudowy państwa polskiego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działania Jana Henryka Dąbrowskiego i Adama Jerzego Czartoryskiego w celu odzyskania przez Polaków niepodległości</w:t>
            </w:r>
          </w:p>
        </w:tc>
      </w:tr>
      <w:tr w:rsidR="008521B2" w:rsidTr="008521B2">
        <w:trPr>
          <w:trHeight w:val="1598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obszar Księstwa Warszawskiego w 1808 r. i 1810 r.;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konstytucji Księstwa Warszawskiego;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okoliczności powstania Księstwa Warszawskiego;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wzorce francuskie i tradycje polskie w konstytucji Księstwa Warszawskiego;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w Księstwie Warszawskim było prawo francuskie, pieniądze pruskie i król saski;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ważniejszych bitew, w których walczyli Polacy u boku Napoleona lub w sojuszu z Napoleonem w Hiszpanii i z Austrią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korzyści, jakie osiągnęli Polacy z istnienia Księstwa Warszawskiego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rozwiązanie kwestii chłopskiej w Księstwie Warszawskim;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miejsce Księstwa Warszawskiego w systemie napoleońskim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Polaków, którzy brali udział w wojnach z Hiszpanią i Austrią;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 znaczenie istnienia Księstwa Warszawskiego dla Polaków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wyrażenie „bajońskie sumy” w czasach Księstwa Warszawskiego i współcześnie</w:t>
            </w:r>
          </w:p>
        </w:tc>
      </w:tr>
      <w:tr w:rsidR="008521B2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przyczyny wojny Napoleona z Rosją </w:t>
            </w:r>
            <w:r>
              <w:rPr>
                <w:rFonts w:ascii="Times New Roman" w:hAnsi="Times New Roman" w:cs="Times New Roman"/>
              </w:rPr>
              <w:br/>
              <w:t>w 1812 r.;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bitew z ostatnich lat panowania Napoleona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sytuację Napoleona po przegranej w 1814 r.;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stosunek Polaków do Napoleona w ostatnich latach jego panowania i ich sytuację po jego upadku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Aleksander I przestał przestrzegać warunków pokoju z Tylży;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próbę odzyskania władzy przez Napoleona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sytuację we Francji, która ułatwiła Napoleonowi podjęcie próby odzyskania władzy;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sytuację Napoleona po przegranej w 1814 i 1815 r.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 znaczenie epoki napoleońskiej w dziejach Francji i Europy;</w:t>
            </w:r>
          </w:p>
          <w:p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zmiany wprowadzone przez Napoleona, które przetrwały jego upadek</w:t>
            </w:r>
          </w:p>
        </w:tc>
      </w:tr>
    </w:tbl>
    <w:p w:rsidR="00003137" w:rsidRDefault="00003137">
      <w:pPr>
        <w:pStyle w:val="TEKSTPODSTAWOWYTABELA"/>
        <w:rPr>
          <w:rFonts w:hint="eastAsia"/>
        </w:rPr>
      </w:pPr>
    </w:p>
    <w:p w:rsidR="00003137" w:rsidRDefault="00003137">
      <w:pPr>
        <w:pStyle w:val="Domylnie"/>
      </w:pPr>
    </w:p>
    <w:sectPr w:rsidR="00003137" w:rsidSect="006758C6">
      <w:headerReference w:type="default" r:id="rId7"/>
      <w:footerReference w:type="default" r:id="rId8"/>
      <w:pgSz w:w="16838" w:h="11906" w:orient="landscape"/>
      <w:pgMar w:top="709" w:right="820" w:bottom="849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232" w:rsidRDefault="00D35232">
      <w:pPr>
        <w:spacing w:after="0" w:line="240" w:lineRule="auto"/>
      </w:pPr>
      <w:r>
        <w:separator/>
      </w:r>
    </w:p>
  </w:endnote>
  <w:endnote w:type="continuationSeparator" w:id="0">
    <w:p w:rsidR="00D35232" w:rsidRDefault="00D3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daPl Semibold">
    <w:panose1 w:val="00000000000000000000"/>
    <w:charset w:val="00"/>
    <w:family w:val="roman"/>
    <w:notTrueType/>
    <w:pitch w:val="default"/>
  </w:font>
  <w:font w:name="AgendaPl Bold">
    <w:panose1 w:val="00000000000000000000"/>
    <w:charset w:val="00"/>
    <w:family w:val="roman"/>
    <w:notTrueType/>
    <w:pitch w:val="default"/>
  </w:font>
  <w:font w:name="AgendaPl RegularCondensed">
    <w:altName w:val="Times New Roman"/>
    <w:panose1 w:val="00000000000000000000"/>
    <w:charset w:val="00"/>
    <w:family w:val="roman"/>
    <w:notTrueType/>
    <w:pitch w:val="default"/>
  </w:font>
  <w:font w:name="AgendaPl Bold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32" w:rsidRDefault="00D35232">
    <w:pPr>
      <w:pStyle w:val="Stopka"/>
      <w:ind w:left="-1417"/>
      <w:jc w:val="center"/>
    </w:pPr>
    <w:r>
      <w:fldChar w:fldCharType="begin"/>
    </w:r>
    <w:r>
      <w:instrText>PAGE</w:instrText>
    </w:r>
    <w:r>
      <w:fldChar w:fldCharType="separate"/>
    </w:r>
    <w:r w:rsidR="00D3627B">
      <w:rPr>
        <w:noProof/>
      </w:rPr>
      <w:t>15</w:t>
    </w:r>
    <w:r>
      <w:fldChar w:fldCharType="end"/>
    </w:r>
  </w:p>
  <w:p w:rsidR="00D35232" w:rsidRDefault="00D35232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232" w:rsidRDefault="00D35232">
      <w:pPr>
        <w:spacing w:after="0" w:line="240" w:lineRule="auto"/>
      </w:pPr>
      <w:r>
        <w:separator/>
      </w:r>
    </w:p>
  </w:footnote>
  <w:footnote w:type="continuationSeparator" w:id="0">
    <w:p w:rsidR="00D35232" w:rsidRDefault="00D3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32" w:rsidRDefault="00D35232">
    <w:pPr>
      <w:pStyle w:val="Gwka"/>
      <w:tabs>
        <w:tab w:val="center" w:pos="4678"/>
      </w:tabs>
      <w:spacing w:after="40"/>
      <w:ind w:left="142" w:right="142"/>
    </w:pPr>
    <w:r>
      <w:rPr>
        <w:noProof/>
        <w:lang w:eastAsia="pl-PL"/>
      </w:rPr>
      <w:drawing>
        <wp:anchor distT="0" distB="0" distL="0" distR="0" simplePos="0" relativeHeight="29" behindDoc="1" locked="0" layoutInCell="1" allowOverlap="1" wp14:anchorId="6124319B" wp14:editId="449002F1">
          <wp:simplePos x="0" y="0"/>
          <wp:positionH relativeFrom="character">
            <wp:posOffset>9014460</wp:posOffset>
          </wp:positionH>
          <wp:positionV relativeFrom="line">
            <wp:posOffset>38100</wp:posOffset>
          </wp:positionV>
          <wp:extent cx="257810" cy="6159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" cy="61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14" behindDoc="1" locked="0" layoutInCell="1" allowOverlap="1" wp14:anchorId="63CDA626" wp14:editId="636BEE66">
          <wp:simplePos x="0" y="0"/>
          <wp:positionH relativeFrom="character">
            <wp:posOffset>-823595</wp:posOffset>
          </wp:positionH>
          <wp:positionV relativeFrom="line">
            <wp:posOffset>123190</wp:posOffset>
          </wp:positionV>
          <wp:extent cx="364490" cy="4508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90" cy="45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5232" w:rsidRDefault="00D35232">
    <w:pPr>
      <w:pStyle w:val="Gwka"/>
      <w:tabs>
        <w:tab w:val="center" w:pos="4678"/>
      </w:tabs>
      <w:ind w:left="142" w:right="142"/>
    </w:pPr>
  </w:p>
  <w:p w:rsidR="00D35232" w:rsidRDefault="00D35232">
    <w:pPr>
      <w:pStyle w:val="Gwka"/>
      <w:tabs>
        <w:tab w:val="center" w:pos="4678"/>
      </w:tabs>
      <w:ind w:left="142" w:righ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3137"/>
    <w:rsid w:val="00003137"/>
    <w:rsid w:val="00160D92"/>
    <w:rsid w:val="0045330B"/>
    <w:rsid w:val="005B3A66"/>
    <w:rsid w:val="006758C6"/>
    <w:rsid w:val="008521B2"/>
    <w:rsid w:val="00D35232"/>
    <w:rsid w:val="00D3627B"/>
    <w:rsid w:val="00DA0CE6"/>
    <w:rsid w:val="00E22161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A569D-0709-4031-8057-C74AF7F7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BOLDCONDENS">
    <w:name w:val="BOLD_CONDENS"/>
    <w:rPr>
      <w:b/>
      <w:bCs/>
    </w:rPr>
  </w:style>
  <w:style w:type="character" w:customStyle="1" w:styleId="ITALICCONDENS">
    <w:name w:val="ITALIC_CONDENS"/>
    <w:rPr>
      <w:i/>
      <w:iCs/>
    </w:rPr>
  </w:style>
  <w:style w:type="character" w:customStyle="1" w:styleId="BulletsandNumbers1BulletsandNumbers">
    <w:name w:val="Bullets and Numbers1 (Bullets and Numbers)"/>
    <w:rPr>
      <w:sz w:val="22"/>
      <w:szCs w:val="22"/>
    </w:rPr>
  </w:style>
  <w:style w:type="character" w:customStyle="1" w:styleId="bezdzielenia">
    <w:name w:val="bez dzielenia"/>
    <w:rPr>
      <w:u w:val="none"/>
    </w:rPr>
  </w:style>
  <w:style w:type="character" w:customStyle="1" w:styleId="0005belka2">
    <w:name w:val="0005_belka_2"/>
    <w:rPr>
      <w:rFonts w:ascii="AgendaPl Regular" w:hAnsi="AgendaPl Regular" w:cs="AgendaPl Regular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  <w:b/>
      <w:color w:val="0033FF"/>
    </w:rPr>
  </w:style>
  <w:style w:type="character" w:customStyle="1" w:styleId="ListLabel3">
    <w:name w:val="ListLabel 3"/>
    <w:rPr>
      <w:b/>
      <w:color w:val="003892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Domylnie"/>
    <w:rPr>
      <w:rFonts w:ascii="Tahoma" w:hAnsi="Tahoma" w:cs="Calibri"/>
      <w:sz w:val="16"/>
      <w:szCs w:val="16"/>
    </w:rPr>
  </w:style>
  <w:style w:type="paragraph" w:styleId="Akapitzlist">
    <w:name w:val="List Paragraph"/>
    <w:basedOn w:val="Domylni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Brakstyluakapitowego">
    <w:name w:val="[Brak stylu akapitowego]"/>
    <w:pPr>
      <w:suppressAutoHyphens/>
      <w:spacing w:after="0"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en-US"/>
    </w:rPr>
  </w:style>
  <w:style w:type="paragraph" w:customStyle="1" w:styleId="TYTULDZIAL">
    <w:name w:val="TYTUL_DZIAL"/>
    <w:basedOn w:val="Brakstyluakapitowego"/>
    <w:pPr>
      <w:spacing w:after="283" w:line="480" w:lineRule="atLeast"/>
    </w:pPr>
    <w:rPr>
      <w:rFonts w:ascii="AgendaPl Semibold" w:hAnsi="AgendaPl Semibold" w:cs="AgendaPl Semibold"/>
      <w:color w:val="024DA1"/>
      <w:sz w:val="40"/>
      <w:szCs w:val="40"/>
    </w:rPr>
  </w:style>
  <w:style w:type="paragraph" w:customStyle="1" w:styleId="TYTULNIEBTABELA">
    <w:name w:val="TYTUL_NIEB (TABELA)"/>
    <w:basedOn w:val="Brakstyluakapitowego"/>
    <w:pPr>
      <w:tabs>
        <w:tab w:val="left" w:pos="170"/>
      </w:tabs>
      <w:spacing w:after="113" w:line="280" w:lineRule="atLeast"/>
    </w:pPr>
    <w:rPr>
      <w:rFonts w:ascii="AgendaPl Bold" w:hAnsi="AgendaPl Bold" w:cs="AgendaPl Bold"/>
      <w:b/>
      <w:bCs/>
      <w:color w:val="024DA1"/>
      <w:sz w:val="28"/>
      <w:szCs w:val="28"/>
    </w:rPr>
  </w:style>
  <w:style w:type="paragraph" w:customStyle="1" w:styleId="TEKSTPODSTAWOWYTABELA">
    <w:name w:val="TEKST_PODSTAWOWY (TABELA)"/>
    <w:basedOn w:val="Brakstyluakapitowego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GLOWKATABELA">
    <w:name w:val="GLOWKA (TABELA)"/>
    <w:basedOn w:val="Brakstyluakapitowego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GLOWKAniebieskipasekTABELA">
    <w:name w:val="G LOWKA_niebieski pasek (TABELA)"/>
    <w:basedOn w:val="Brakstyluakapitowego"/>
    <w:pPr>
      <w:spacing w:line="240" w:lineRule="atLeast"/>
      <w:jc w:val="center"/>
    </w:pPr>
    <w:rPr>
      <w:rFonts w:ascii="AgendaPl BoldCondensed" w:hAnsi="AgendaPl BoldCondensed" w:cs="AgendaPl BoldCondensed"/>
      <w:b/>
      <w:bCs/>
      <w:caps/>
      <w:color w:val="FFFFFF"/>
    </w:rPr>
  </w:style>
  <w:style w:type="paragraph" w:customStyle="1" w:styleId="TEKSTwylicz123TABELA">
    <w:name w:val="TEKST_wylicz_1.2.3. (TABELA)"/>
    <w:basedOn w:val="Brakstyluakapitowego"/>
    <w:pPr>
      <w:tabs>
        <w:tab w:val="left" w:pos="340"/>
      </w:tabs>
      <w:spacing w:line="240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KSTKROPYTABELA">
    <w:name w:val="TEKST_KROPY (TABELA)"/>
    <w:basedOn w:val="Brakstyluakapitowego"/>
    <w:pPr>
      <w:spacing w:line="240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KSTwylicz123WCIECIE4mmTABELA">
    <w:name w:val="TEKST_wylicz_1.2.3._WCIECIE 4 mm (TABELA)"/>
    <w:basedOn w:val="Brakstyluakapitowego"/>
    <w:pPr>
      <w:tabs>
        <w:tab w:val="right" w:pos="425"/>
        <w:tab w:val="left" w:pos="510"/>
      </w:tabs>
      <w:spacing w:line="240" w:lineRule="atLeast"/>
      <w:ind w:left="255" w:hanging="181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KSTwylicz111213TABELA">
    <w:name w:val="TEKST_wylicz_11.12.13. (TABELA)"/>
    <w:basedOn w:val="Brakstyluakapitowego"/>
    <w:pPr>
      <w:tabs>
        <w:tab w:val="left" w:pos="510"/>
      </w:tabs>
      <w:spacing w:line="240" w:lineRule="atLeast"/>
      <w:ind w:left="255" w:hanging="255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odstawowyakapitowy">
    <w:name w:val="[Podstawowy akapitowy]"/>
    <w:basedOn w:val="Brakstyluakapitowego"/>
  </w:style>
  <w:style w:type="paragraph" w:styleId="NormalnyWeb">
    <w:name w:val="Normal (Web)"/>
    <w:basedOn w:val="Domylnie"/>
    <w:pPr>
      <w:spacing w:before="28" w:after="28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4880</Words>
  <Characters>29282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BIEZUN</dc:creator>
  <cp:lastModifiedBy>Użytkownik systemu Windows</cp:lastModifiedBy>
  <cp:revision>9</cp:revision>
  <dcterms:created xsi:type="dcterms:W3CDTF">2021-09-07T18:38:00Z</dcterms:created>
  <dcterms:modified xsi:type="dcterms:W3CDTF">2022-12-19T20:43:00Z</dcterms:modified>
</cp:coreProperties>
</file>